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800" w:after="40"/>
        <w:jc w:val="center"/>
      </w:pPr>
      <w:r>
        <w:rPr>
          <w:rFonts w:ascii="Calibri" w:cs="Arial" w:eastAsia="Arial" w:hAnsi="Calibri"/>
          <w:b w:val="0"/>
          <w:bCs/>
          <w:i w:val="0"/>
          <w:color w:val="000000"/>
          <w:sz w:val="24"/>
          <w:szCs w:val="24"/>
        </w:rPr>
        <w:t xml:space="preserve">NATIONAL UNIVERSITY OF SCIENCE AND TECHNOLOGY</w:t>
      </w:r>
    </w:p>
    <w:p>
      <w:pPr>
        <w:spacing w:after="20"/>
        <w:jc w:val="center"/>
      </w:pPr>
      <w:r>
        <w:rPr>
          <w:rFonts w:ascii="Calibri" w:cs="Arial" w:eastAsia="Arial" w:hAnsi="Calibri"/>
          <w:b w:val="0"/>
          <w:i w:val="0"/>
          <w:color w:val="000000"/>
          <w:sz w:val="24"/>
          <w:szCs w:val="22"/>
        </w:rPr>
        <w:t xml:space="preserve">Department of Computer Science &amp; Informatics</w:t>
      </w:r>
    </w:p>
    <w:p>
      <w:pPr>
        <w:spacing w:after="600"/>
        <w:jc w:val="center"/>
      </w:pPr>
      <w:r>
        <w:rPr>
          <w:rFonts w:ascii="Calibri" w:cs="Arial" w:eastAsia="Arial" w:hAnsi="Calibri"/>
          <w:b w:val="0"/>
          <w:i w:val="0"/>
          <w:color w:val="000000"/>
          <w:sz w:val="24"/>
          <w:szCs w:val="22"/>
        </w:rPr>
        <w:t xml:space="preserve">BSc Informatics and Analytics</w:t>
      </w:r>
    </w:p>
    <w:p>
      <w:pPr>
        <w:pBdr>
          <w:top w:val="single" w:sz="12" w:space="2"/>
        </w:pBdr>
        <w:spacing w:after="20"/>
        <w:jc w:val="center"/>
      </w:pPr>
      <w:r>
        <w:rPr>
          <w:rFonts w:ascii="Calibri" w:cs="Arial" w:eastAsia="Arial" w:hAnsi="Calibri"/>
          <w:b w:val="0"/>
          <w:i w:val="0"/>
          <w:color w:val="000000"/>
          <w:sz w:val="24"/>
          <w:szCs w:val="4"/>
        </w:rPr>
        <w:t xml:space="preserve"/>
      </w:r>
    </w:p>
    <w:p>
      <w:pPr>
        <w:spacing w:before="160" w:after="60"/>
        <w:jc w:val="center"/>
      </w:pPr>
      <w:r>
        <w:rPr>
          <w:rFonts w:ascii="Calibri" w:cs="Arial" w:eastAsia="Arial" w:hAnsi="Calibri"/>
          <w:b w:val="0"/>
          <w:bCs/>
          <w:i w:val="0"/>
          <w:color w:val="000000"/>
          <w:sz w:val="24"/>
          <w:szCs w:val="40"/>
        </w:rPr>
        <w:t xml:space="preserve">INDUSTRIAL ATTACHMENT LOGBOOK</w:t>
      </w:r>
    </w:p>
    <w:p>
      <w:pPr>
        <w:spacing w:after="160"/>
        <w:jc w:val="center"/>
      </w:pPr>
      <w:r>
        <w:rPr>
          <w:rFonts w:ascii="Calibri" w:cs="Arial" w:eastAsia="Arial" w:hAnsi="Calibri"/>
          <w:b w:val="0"/>
          <w:i w:val="0"/>
          <w:color w:val="000000"/>
          <w:sz w:val="24"/>
          <w:szCs w:val="24"/>
        </w:rPr>
        <w:t xml:space="preserve">Period: October 2025 – March 2026</w:t>
      </w:r>
    </w:p>
    <w:p>
      <w:pPr>
        <w:pBdr>
          <w:bottom w:val="single" w:sz="12" w:space="2"/>
        </w:pBdr>
        <w:spacing w:after="20"/>
        <w:jc w:val="center"/>
      </w:pPr>
      <w:r>
        <w:rPr>
          <w:rFonts w:ascii="Calibri" w:cs="Arial" w:eastAsia="Arial" w:hAnsi="Calibri"/>
          <w:b w:val="0"/>
          <w:i w:val="0"/>
          <w:color w:val="000000"/>
          <w:sz w:val="24"/>
          <w:szCs w:val="4"/>
        </w:rPr>
        <w:t xml:space="preserve"/>
      </w:r>
    </w:p>
    <w:p>
      <w:pPr>
        <w:spacing w:before="400" w:after="60"/>
        <w:jc w:val="center"/>
      </w:pPr>
      <w:r>
        <w:rPr>
          <w:rFonts w:ascii="Calibri" w:cs="Arial" w:eastAsia="Arial" w:hAnsi="Calibri"/>
          <w:b w:val="0"/>
          <w:bCs/>
          <w:i w:val="0"/>
          <w:color w:val="000000"/>
          <w:sz w:val="24"/>
          <w:szCs w:val="22"/>
        </w:rPr>
        <w:t xml:space="preserve">Organisation:</w:t>
      </w:r>
    </w:p>
    <w:p>
      <w:pPr>
        <w:spacing w:after="30"/>
        <w:jc w:val="center"/>
      </w:pPr>
      <w:r>
        <w:rPr>
          <w:rFonts w:ascii="Calibri" w:cs="Arial" w:eastAsia="Arial" w:hAnsi="Calibri"/>
          <w:b w:val="0"/>
          <w:bCs/>
          <w:i w:val="0"/>
          <w:color w:val="000000"/>
          <w:sz w:val="24"/>
          <w:szCs w:val="24"/>
        </w:rPr>
        <w:t xml:space="preserve">Lynia Finance (Pvt) Ltd</w:t>
      </w:r>
    </w:p>
    <w:p>
      <w:pPr>
        <w:spacing w:after="30"/>
        <w:jc w:val="center"/>
      </w:pPr>
      <w:r>
        <w:rPr>
          <w:rFonts w:ascii="Calibri" w:cs="Arial" w:eastAsia="Arial" w:hAnsi="Calibri"/>
          <w:b w:val="0"/>
          <w:i w:val="0"/>
          <w:color w:val="000000"/>
          <w:sz w:val="24"/>
          <w:szCs w:val="20"/>
        </w:rPr>
        <w:t xml:space="preserve">Harare, Zimbabwe   |   admin.lyniafinance.com</w:t>
      </w:r>
    </w:p>
    <w:p>
      <w:pPr>
        <w:spacing w:before="200" w:after="60"/>
        <w:jc w:val="center"/>
      </w:pPr>
      <w:r>
        <w:rPr>
          <w:rFonts w:ascii="Calibri" w:cs="Arial" w:eastAsia="Arial" w:hAnsi="Calibri"/>
          <w:b w:val="0"/>
          <w:bCs/>
          <w:i w:val="0"/>
          <w:color w:val="000000"/>
          <w:sz w:val="24"/>
          <w:szCs w:val="22"/>
        </w:rPr>
        <w:t xml:space="preserve">Role:</w:t>
      </w:r>
    </w:p>
    <w:p>
      <w:pPr>
        <w:spacing w:after="30"/>
        <w:jc w:val="center"/>
      </w:pPr>
      <w:r>
        <w:rPr>
          <w:rFonts w:ascii="Calibri" w:cs="Arial" w:eastAsia="Arial" w:hAnsi="Calibri"/>
          <w:b w:val="0"/>
          <w:bCs/>
          <w:i w:val="0"/>
          <w:color w:val="000000"/>
          <w:sz w:val="24"/>
          <w:szCs w:val="24"/>
        </w:rPr>
        <w:t xml:space="preserve">Informatics &amp; Analytics Intern</w:t>
      </w:r>
    </w:p>
    <w:p>
      <w:pPr>
        <w:spacing w:before="200" w:after="60"/>
        <w:jc w:val="center"/>
      </w:pPr>
      <w:r>
        <w:rPr>
          <w:rFonts w:ascii="Calibri" w:cs="Arial" w:eastAsia="Arial" w:hAnsi="Calibri"/>
          <w:b w:val="0"/>
          <w:bCs/>
          <w:i w:val="0"/>
          <w:color w:val="000000"/>
          <w:sz w:val="24"/>
          <w:szCs w:val="22"/>
        </w:rPr>
        <w:t xml:space="preserve">Student:</w:t>
      </w:r>
    </w:p>
    <w:p>
      <w:pPr>
        <w:spacing w:after="30"/>
        <w:jc w:val="center"/>
      </w:pPr>
      <w:r>
        <w:rPr>
          <w:rFonts w:ascii="Calibri" w:cs="Arial" w:eastAsia="Arial" w:hAnsi="Calibri"/>
          <w:b w:val="0"/>
          <w:bCs/>
          <w:i w:val="0"/>
          <w:color w:val="000000"/>
          <w:sz w:val="24"/>
          <w:szCs w:val="24"/>
        </w:rPr>
        <w:t xml:space="preserve">Tereraishe</w:t>
      </w:r>
    </w:p>
    <w:p>
      <w:pPr>
        <w:spacing w:before="200" w:after="60"/>
        <w:jc w:val="center"/>
      </w:pPr>
      <w:r>
        <w:rPr>
          <w:rFonts w:ascii="Calibri" w:cs="Arial" w:eastAsia="Arial" w:hAnsi="Calibri"/>
          <w:b w:val="0"/>
          <w:bCs/>
          <w:i w:val="0"/>
          <w:color w:val="000000"/>
          <w:sz w:val="24"/>
          <w:szCs w:val="22"/>
        </w:rPr>
        <w:t xml:space="preserve">Submission Date:</w:t>
      </w:r>
    </w:p>
    <w:p>
      <w:pPr>
        <w:spacing w:after="30"/>
        <w:jc w:val="center"/>
      </w:pPr>
      <w:r>
        <w:rPr>
          <w:rFonts w:ascii="Calibri" w:cs="Arial" w:eastAsia="Arial" w:hAnsi="Calibri"/>
          <w:b w:val="0"/>
          <w:bCs/>
          <w:i w:val="0"/>
          <w:color w:val="000000"/>
          <w:sz w:val="24"/>
          <w:szCs w:val="24"/>
        </w:rPr>
        <w:t xml:space="preserve">27 March 2026</w:t>
      </w:r>
    </w:p>
    <w:p>
      <w:r>
        <w:rPr>
          <w:rFonts w:ascii="Calibri" w:hAnsi="Calibri"/>
          <w:b w:val="0"/>
          <w:i w:val="0"/>
          <w:color w:val="000000"/>
          <w:sz w:val="24"/>
        </w:rPr>
        <w:br/>
        <w:t xml:space="preserve"/>
      </w:r>
    </w:p>
    <w:p>
      <w:pPr>
        <w:pStyle w:val="Heading1"/>
        <w:spacing w:before="200" w:after="160"/>
      </w:pPr>
      <w:r>
        <w:rPr>
          <w:rFonts w:ascii="Calibri" w:cs="Arial" w:eastAsia="Arial" w:hAnsi="Calibri"/>
          <w:b w:val="0"/>
          <w:bCs/>
          <w:i w:val="0"/>
          <w:color w:val="000000"/>
          <w:sz w:val="24"/>
          <w:szCs w:val="36"/>
        </w:rPr>
        <w:t xml:space="preserve">Weekly Activity Log</w:t>
      </w:r>
    </w:p>
    <w:p>
      <w:pPr>
        <w:spacing w:after="200"/>
      </w:pPr>
      <w:r>
        <w:rPr>
          <w:rFonts w:ascii="Calibri" w:cs="Arial" w:eastAsia="Arial" w:hAnsi="Calibri"/>
          <w:b w:val="0"/>
          <w:i w:val="0"/>
          <w:iCs/>
          <w:color w:val="000000"/>
          <w:sz w:val="24"/>
          <w:szCs w:val="18"/>
        </w:rPr>
        <w:t xml:space="preserve">This log documents tasks performed, analytical work undertaken, and professional competencies developed during the industrial attachment period at Lynia Finance, a WhatsApp-first financial inclusion platform serving Zimbabwe's underbanked workforce.</w:t>
      </w:r>
    </w:p>
    <w:tbl>
      <w:tblPr>
        <w:tblW w:type="dxa" w:w="9026"/>
        <w:tblBorders>
          <w:top w:val="single" w:sz="4"/>
          <w:left w:val="single" w:sz="4"/>
          <w:bottom w:val="single" w:sz="4"/>
          <w:right w:val="single" w:sz="4"/>
          <w:insideH w:val="single" w:sz="4"/>
          <w:insideV w:val="single" w:sz="4"/>
        </w:tblBorders>
      </w:tblPr>
      <w:tblGrid>
        <w:gridCol w:w="1200"/>
        <w:gridCol w:w="4800"/>
        <w:gridCol w:w="3026"/>
      </w:tblGrid>
      <w:tr>
        <w:trPr>
          <w:tblHeader/>
        </w:trPr>
        <w:tc>
          <w:tcPr>
            <w:tcW w:type="dxa" w:w="1200"/>
            <w:tcBorders>
              <w:top w:val="single" w:sz="4"/>
              <w:left w:val="single" w:sz="4"/>
              <w:bottom w:val="single" w:sz="4"/>
              <w:right w:val="single" w:sz="4"/>
            </w:tcBorders>
            <w:tcMar>
              <w:top w:type="dxa" w:w="100"/>
              <w:left w:type="dxa" w:w="120"/>
              <w:bottom w:type="dxa" w:w="100"/>
              <w:right w:type="dxa" w:w="120"/>
            </w:tcMar>
          </w:tcPr>
          <w:p>
            <w:pPr>
              <w:jc w:val="center"/>
            </w:pPr>
            <w:r>
              <w:rPr>
                <w:rFonts w:ascii="Calibri" w:cs="Arial" w:eastAsia="Arial" w:hAnsi="Calibri"/>
                <w:b w:val="0"/>
                <w:bCs/>
                <w:i w:val="0"/>
                <w:color w:val="000000"/>
                <w:sz w:val="22"/>
                <w:szCs w:val="20"/>
              </w:rPr>
              <w:t xml:space="preserve">Week Ending</w:t>
            </w:r>
          </w:p>
        </w:tc>
        <w:tc>
          <w:tcPr>
            <w:tcW w:type="dxa" w:w="4800"/>
            <w:tcBorders>
              <w:top w:val="single" w:sz="4"/>
              <w:left w:val="single" w:sz="4"/>
              <w:bottom w:val="single" w:sz="4"/>
              <w:right w:val="single" w:sz="4"/>
            </w:tcBorders>
            <w:tcMar>
              <w:top w:type="dxa" w:w="100"/>
              <w:left w:type="dxa" w:w="120"/>
              <w:bottom w:type="dxa" w:w="100"/>
              <w:right w:type="dxa" w:w="120"/>
            </w:tcMar>
          </w:tcPr>
          <w:p>
            <w:pPr>
              <w:jc w:val="center"/>
            </w:pPr>
            <w:r>
              <w:rPr>
                <w:rFonts w:ascii="Calibri" w:cs="Arial" w:eastAsia="Arial" w:hAnsi="Calibri"/>
                <w:b w:val="0"/>
                <w:bCs/>
                <w:i w:val="0"/>
                <w:color w:val="000000"/>
                <w:sz w:val="22"/>
                <w:szCs w:val="20"/>
              </w:rPr>
              <w:t xml:space="preserve">Description of Work / Tasks Performed</w:t>
            </w:r>
          </w:p>
        </w:tc>
        <w:tc>
          <w:tcPr>
            <w:tcW w:type="dxa" w:w="3026"/>
            <w:tcBorders>
              <w:top w:val="single" w:sz="4"/>
              <w:left w:val="single" w:sz="4"/>
              <w:bottom w:val="single" w:sz="4"/>
              <w:right w:val="single" w:sz="4"/>
            </w:tcBorders>
            <w:tcMar>
              <w:top w:type="dxa" w:w="100"/>
              <w:left w:type="dxa" w:w="120"/>
              <w:bottom w:type="dxa" w:w="100"/>
              <w:right w:type="dxa" w:w="120"/>
            </w:tcMar>
          </w:tcPr>
          <w:p>
            <w:pPr>
              <w:jc w:val="center"/>
            </w:pPr>
            <w:r>
              <w:rPr>
                <w:rFonts w:ascii="Calibri" w:cs="Arial" w:eastAsia="Arial" w:hAnsi="Calibri"/>
                <w:b w:val="0"/>
                <w:bCs/>
                <w:i w:val="0"/>
                <w:color w:val="000000"/>
                <w:sz w:val="22"/>
                <w:szCs w:val="20"/>
              </w:rPr>
              <w:t xml:space="preserve">Key Learning Outcomes / Competencies Gained</w:t>
            </w:r>
          </w:p>
        </w:tc>
      </w:tr>
      <w:tr>
        <w:tc>
          <w:tcPr>
            <w:tcW w:type="dxa" w:w="1200"/>
            <w:tcBorders>
              <w:top w:val="single" w:sz="4"/>
              <w:left w:val="single" w:sz="4"/>
              <w:bottom w:val="single" w:sz="4"/>
              <w:right w:val="single" w:sz="4"/>
            </w:tcBorders>
            <w:tcMar>
              <w:top w:type="dxa" w:w="90"/>
              <w:left w:type="dxa" w:w="120"/>
              <w:bottom w:type="dxa" w:w="90"/>
              <w:right w:type="dxa" w:w="120"/>
            </w:tcMar>
            <w:vAlign w:val="center"/>
          </w:tcPr>
          <w:p>
            <w:pPr>
              <w:jc w:val="center"/>
            </w:pPr>
            <w:r>
              <w:rPr>
                <w:rFonts w:ascii="Calibri" w:cs="Arial" w:eastAsia="Arial" w:hAnsi="Calibri"/>
                <w:b w:val="0"/>
                <w:bCs/>
                <w:i w:val="0"/>
                <w:color w:val="000000"/>
                <w:sz w:val="22"/>
                <w:szCs w:val="17"/>
              </w:rPr>
              <w:t xml:space="preserve">7 Oct 2025</w:t>
            </w:r>
          </w:p>
        </w:tc>
        <w:tc>
          <w:tcPr>
            <w:tcW w:type="dxa" w:w="4800"/>
            <w:tcBorders>
              <w:top w:val="single" w:sz="4"/>
              <w:left w:val="single" w:sz="4"/>
              <w:bottom w:val="single" w:sz="4"/>
              <w:right w:val="single" w:sz="4"/>
            </w:tcBorders>
            <w:tcMar>
              <w:top w:type="dxa" w:w="90"/>
              <w:left w:type="dxa" w:w="120"/>
              <w:bottom w:type="dxa" w:w="90"/>
              <w:right w:type="dxa" w:w="120"/>
            </w:tcMar>
          </w:tcPr>
          <w:p>
            <w:pPr>
              <w:spacing w:after="30" w:before="60"/>
            </w:pPr>
            <w:r>
              <w:rPr>
                <w:rFonts w:ascii="Calibri" w:cs="Arial" w:eastAsia="Arial" w:hAnsi="Calibri"/>
                <w:b w:val="0"/>
                <w:bCs/>
                <w:i w:val="0"/>
                <w:color w:val="000000"/>
                <w:sz w:val="22"/>
                <w:szCs w:val="17"/>
              </w:rPr>
              <w:t xml:space="preserve">Platform Orientation &amp; Repository Setup</w:t>
            </w:r>
          </w:p>
          <w:p>
            <w:pPr>
              <w:pStyle w:val="ListParagraph"/>
              <w:numPr>
                <w:ilvl w:val="0"/>
                <w:numId w:val="2"/>
              </w:numPr>
              <w:spacing w:after="40" w:before="0"/>
            </w:pPr>
            <w:r>
              <w:rPr>
                <w:rFonts w:ascii="Calibri" w:cs="Arial" w:eastAsia="Arial" w:hAnsi="Calibri"/>
                <w:b w:val="0"/>
                <w:i w:val="0"/>
                <w:color w:val="000000"/>
                <w:sz w:val="22"/>
                <w:szCs w:val="17"/>
              </w:rPr>
              <w:t xml:space="preserve">Cloned and reviewed the Lynia Finance GitHub repository (github.com/1terr/Lynia-finance) and familiarised with the six-microservice AWS Lambda architecture</w:t>
            </w:r>
          </w:p>
          <w:p>
            <w:pPr>
              <w:pStyle w:val="ListParagraph"/>
              <w:numPr>
                <w:ilvl w:val="0"/>
                <w:numId w:val="2"/>
              </w:numPr>
              <w:spacing w:after="40" w:before="0"/>
            </w:pPr>
            <w:r>
              <w:rPr>
                <w:rFonts w:ascii="Calibri" w:cs="Arial" w:eastAsia="Arial" w:hAnsi="Calibri"/>
                <w:b w:val="0"/>
                <w:i w:val="0"/>
                <w:color w:val="000000"/>
                <w:sz w:val="22"/>
                <w:szCs w:val="17"/>
              </w:rPr>
              <w:t xml:space="preserve">Mapped the Next.js 14 frontend structure, identifying admin portal component hierarchy and routing conventions</w:t>
            </w:r>
          </w:p>
          <w:p>
            <w:pPr>
              <w:pStyle w:val="ListParagraph"/>
              <w:numPr>
                <w:ilvl w:val="0"/>
                <w:numId w:val="2"/>
              </w:numPr>
              <w:spacing w:after="40" w:before="0"/>
            </w:pPr>
            <w:r>
              <w:rPr>
                <w:rFonts w:ascii="Calibri" w:cs="Arial" w:eastAsia="Arial" w:hAnsi="Calibri"/>
                <w:b w:val="0"/>
                <w:i w:val="0"/>
                <w:color w:val="000000"/>
                <w:sz w:val="22"/>
                <w:szCs w:val="17"/>
              </w:rPr>
              <w:t xml:space="preserve">Configured GitHub collaboration workflow including branch protection rules, pull request templates, and commit message standards for supervisor-visible progress reporting</w:t>
            </w:r>
          </w:p>
          <w:p>
            <w:pPr>
              <w:pStyle w:val="ListParagraph"/>
              <w:numPr>
                <w:ilvl w:val="0"/>
                <w:numId w:val="2"/>
              </w:numPr>
              <w:spacing w:after="40" w:before="0"/>
            </w:pPr>
            <w:r>
              <w:rPr>
                <w:rFonts w:ascii="Calibri" w:cs="Arial" w:eastAsia="Arial" w:hAnsi="Calibri"/>
                <w:b w:val="0"/>
                <w:i w:val="0"/>
                <w:color w:val="000000"/>
                <w:sz w:val="22"/>
                <w:szCs w:val="17"/>
              </w:rPr>
              <w:t xml:space="preserve">Documented the initial tech stack: Next.js 14, AWS Lambda (Node.js 20/TypeScript, ARM64), RDS PostgreSQL 16, Apache Fineract v1.13.0, Trustonic, Smile Identity, EcoCash/OneMoney, WhatsApp Cloud API</w:t>
            </w:r>
          </w:p>
          <w:p>
            <w:pPr>
              <w:spacing w:after="30" w:before="60"/>
            </w:pPr>
            <w:r>
              <w:rPr>
                <w:rFonts w:ascii="Calibri" w:cs="Arial" w:eastAsia="Arial" w:hAnsi="Calibri"/>
                <w:b w:val="0"/>
                <w:bCs/>
                <w:i w:val="0"/>
                <w:color w:val="000000"/>
                <w:sz w:val="22"/>
                <w:szCs w:val="17"/>
              </w:rPr>
              <w:t xml:space="preserve">Analytics Orientation</w:t>
            </w:r>
          </w:p>
          <w:p>
            <w:pPr>
              <w:pStyle w:val="ListParagraph"/>
              <w:numPr>
                <w:ilvl w:val="0"/>
                <w:numId w:val="2"/>
              </w:numPr>
              <w:spacing w:after="40" w:before="0"/>
            </w:pPr>
            <w:r>
              <w:rPr>
                <w:rFonts w:ascii="Calibri" w:cs="Arial" w:eastAsia="Arial" w:hAnsi="Calibri"/>
                <w:b w:val="0"/>
                <w:i w:val="0"/>
                <w:color w:val="000000"/>
                <w:sz w:val="22"/>
                <w:szCs w:val="17"/>
              </w:rPr>
              <w:t xml:space="preserve">Conducted a preliminary review of Zimbabwe's financial inclusion landscape using RBZ and ZIMSTAT datasets to contextualise Lynia's target market</w:t>
            </w:r>
          </w:p>
        </w:tc>
        <w:tc>
          <w:tcPr>
            <w:tcW w:type="dxa" w:w="3026"/>
            <w:tcBorders>
              <w:top w:val="single" w:sz="4"/>
              <w:left w:val="single" w:sz="4"/>
              <w:bottom w:val="single" w:sz="4"/>
              <w:right w:val="single" w:sz="4"/>
            </w:tcBorders>
            <w:tcMar>
              <w:top w:type="dxa" w:w="90"/>
              <w:left w:type="dxa" w:w="120"/>
              <w:bottom w:type="dxa" w:w="90"/>
              <w:right w:type="dxa" w:w="120"/>
            </w:tcMar>
          </w:tcPr>
          <w:p>
            <w:pPr>
              <w:pStyle w:val="ListParagraph"/>
              <w:numPr>
                <w:ilvl w:val="0"/>
                <w:numId w:val="2"/>
              </w:numPr>
              <w:spacing w:after="40" w:before="0"/>
            </w:pPr>
            <w:r>
              <w:rPr>
                <w:rFonts w:ascii="Calibri" w:cs="Arial" w:eastAsia="Arial" w:hAnsi="Calibri"/>
                <w:b w:val="0"/>
                <w:i w:val="0"/>
                <w:color w:val="000000"/>
                <w:sz w:val="22"/>
                <w:szCs w:val="17"/>
              </w:rPr>
              <w:t xml:space="preserve">Version control and collaborative development workflows (Git, GitHub Actions)</w:t>
            </w:r>
          </w:p>
          <w:p>
            <w:pPr>
              <w:pStyle w:val="ListParagraph"/>
              <w:numPr>
                <w:ilvl w:val="0"/>
                <w:numId w:val="2"/>
              </w:numPr>
              <w:spacing w:after="40" w:before="0"/>
            </w:pPr>
            <w:r>
              <w:rPr>
                <w:rFonts w:ascii="Calibri" w:cs="Arial" w:eastAsia="Arial" w:hAnsi="Calibri"/>
                <w:b w:val="0"/>
                <w:i w:val="0"/>
                <w:color w:val="000000"/>
                <w:sz w:val="22"/>
                <w:szCs w:val="17"/>
              </w:rPr>
              <w:t xml:space="preserve">Understanding of cloud-native microservice architecture patterns</w:t>
            </w:r>
          </w:p>
          <w:p>
            <w:pPr>
              <w:pStyle w:val="ListParagraph"/>
              <w:numPr>
                <w:ilvl w:val="0"/>
                <w:numId w:val="2"/>
              </w:numPr>
              <w:spacing w:after="40" w:before="0"/>
            </w:pPr>
            <w:r>
              <w:rPr>
                <w:rFonts w:ascii="Calibri" w:cs="Arial" w:eastAsia="Arial" w:hAnsi="Calibri"/>
                <w:b w:val="0"/>
                <w:i w:val="0"/>
                <w:color w:val="000000"/>
                <w:sz w:val="22"/>
                <w:szCs w:val="17"/>
              </w:rPr>
              <w:t xml:space="preserve">FinTech regulatory environment awareness (RBZ, Zimbabwe MFI framework)</w:t>
            </w:r>
          </w:p>
        </w:tc>
      </w:tr>
      <w:tr>
        <w:tc>
          <w:tcPr>
            <w:tcW w:type="dxa" w:w="1200"/>
            <w:tcBorders>
              <w:top w:val="single" w:sz="4"/>
              <w:left w:val="single" w:sz="4"/>
              <w:bottom w:val="single" w:sz="4"/>
              <w:right w:val="single" w:sz="4"/>
            </w:tcBorders>
            <w:tcMar>
              <w:top w:type="dxa" w:w="90"/>
              <w:left w:type="dxa" w:w="120"/>
              <w:bottom w:type="dxa" w:w="90"/>
              <w:right w:type="dxa" w:w="120"/>
            </w:tcMar>
            <w:vAlign w:val="center"/>
          </w:tcPr>
          <w:p>
            <w:pPr>
              <w:jc w:val="center"/>
            </w:pPr>
            <w:r>
              <w:rPr>
                <w:rFonts w:ascii="Calibri" w:cs="Arial" w:eastAsia="Arial" w:hAnsi="Calibri"/>
                <w:b w:val="0"/>
                <w:bCs/>
                <w:i w:val="0"/>
                <w:color w:val="000000"/>
                <w:sz w:val="22"/>
                <w:szCs w:val="17"/>
              </w:rPr>
              <w:t xml:space="preserve">14 Oct 2025</w:t>
            </w:r>
          </w:p>
        </w:tc>
        <w:tc>
          <w:tcPr>
            <w:tcW w:type="dxa" w:w="4800"/>
            <w:tcBorders>
              <w:top w:val="single" w:sz="4"/>
              <w:left w:val="single" w:sz="4"/>
              <w:bottom w:val="single" w:sz="4"/>
              <w:right w:val="single" w:sz="4"/>
            </w:tcBorders>
            <w:tcMar>
              <w:top w:type="dxa" w:w="90"/>
              <w:left w:type="dxa" w:w="120"/>
              <w:bottom w:type="dxa" w:w="90"/>
              <w:right w:type="dxa" w:w="120"/>
            </w:tcMar>
          </w:tcPr>
          <w:p>
            <w:pPr>
              <w:spacing w:after="30" w:before="60"/>
            </w:pPr>
            <w:r>
              <w:rPr>
                <w:rFonts w:ascii="Calibri" w:cs="Arial" w:eastAsia="Arial" w:hAnsi="Calibri"/>
                <w:b w:val="0"/>
                <w:bCs/>
                <w:i w:val="0"/>
                <w:color w:val="000000"/>
                <w:sz w:val="22"/>
                <w:szCs w:val="17"/>
              </w:rPr>
              <w:t xml:space="preserve">Admin Panel Architecture Audit</w:t>
            </w:r>
          </w:p>
          <w:p>
            <w:pPr>
              <w:pStyle w:val="ListParagraph"/>
              <w:numPr>
                <w:ilvl w:val="0"/>
                <w:numId w:val="2"/>
              </w:numPr>
              <w:spacing w:after="40" w:before="0"/>
            </w:pPr>
            <w:r>
              <w:rPr>
                <w:rFonts w:ascii="Calibri" w:cs="Arial" w:eastAsia="Arial" w:hAnsi="Calibri"/>
                <w:b w:val="0"/>
                <w:i w:val="0"/>
                <w:color w:val="000000"/>
                <w:sz w:val="22"/>
                <w:szCs w:val="17"/>
              </w:rPr>
              <w:t xml:space="preserve">Executed a comprehensive user journey audit across admin.lyniafinance.com, mapping all available routes and evaluating completeness of implemented flows</w:t>
            </w:r>
          </w:p>
          <w:p>
            <w:pPr>
              <w:pStyle w:val="ListParagraph"/>
              <w:numPr>
                <w:ilvl w:val="0"/>
                <w:numId w:val="2"/>
              </w:numPr>
              <w:spacing w:after="40" w:before="0"/>
            </w:pPr>
            <w:r>
              <w:rPr>
                <w:rFonts w:ascii="Calibri" w:cs="Arial" w:eastAsia="Arial" w:hAnsi="Calibri"/>
                <w:b w:val="0"/>
                <w:i w:val="0"/>
                <w:color w:val="000000"/>
                <w:sz w:val="22"/>
                <w:szCs w:val="17"/>
              </w:rPr>
              <w:t xml:space="preserve">Documented the six AWS Lambda microservices: scoring-service, whatsapp-service, kyc-service, payment-service, lock-service, and notification-service</w:t>
            </w:r>
          </w:p>
          <w:p>
            <w:pPr>
              <w:pStyle w:val="ListParagraph"/>
              <w:numPr>
                <w:ilvl w:val="0"/>
                <w:numId w:val="2"/>
              </w:numPr>
              <w:spacing w:after="40" w:before="0"/>
            </w:pPr>
            <w:r>
              <w:rPr>
                <w:rFonts w:ascii="Calibri" w:cs="Arial" w:eastAsia="Arial" w:hAnsi="Calibri"/>
                <w:b w:val="0"/>
                <w:i w:val="0"/>
                <w:color w:val="000000"/>
                <w:sz w:val="22"/>
                <w:szCs w:val="17"/>
              </w:rPr>
              <w:t xml:space="preserve">Identified critical gap: Apache Fineract v1.13.0 listed as 'Planned' in the architecture diagram — flagged for EC2 deployment prioritisation</w:t>
            </w:r>
          </w:p>
          <w:p>
            <w:pPr>
              <w:pStyle w:val="ListParagraph"/>
              <w:numPr>
                <w:ilvl w:val="0"/>
                <w:numId w:val="2"/>
              </w:numPr>
              <w:spacing w:after="40" w:before="0"/>
            </w:pPr>
            <w:r>
              <w:rPr>
                <w:rFonts w:ascii="Calibri" w:cs="Arial" w:eastAsia="Arial" w:hAnsi="Calibri"/>
                <w:b w:val="0"/>
                <w:i w:val="0"/>
                <w:color w:val="000000"/>
                <w:sz w:val="22"/>
                <w:szCs w:val="17"/>
              </w:rPr>
              <w:t xml:space="preserve">Produced structured audit report cataloguing missing device-to-product foreign keys, hardcoded WhatsApp product menus, absent manual KYC review UI, and unconfirmed Fineract deployment</w:t>
            </w:r>
          </w:p>
          <w:p>
            <w:pPr>
              <w:spacing w:after="30" w:before="60"/>
            </w:pPr>
            <w:r>
              <w:rPr>
                <w:rFonts w:ascii="Calibri" w:cs="Arial" w:eastAsia="Arial" w:hAnsi="Calibri"/>
                <w:b w:val="0"/>
                <w:bCs/>
                <w:i w:val="0"/>
                <w:color w:val="000000"/>
                <w:sz w:val="22"/>
                <w:szCs w:val="17"/>
              </w:rPr>
              <w:t xml:space="preserve">Database Informatics</w:t>
            </w:r>
          </w:p>
          <w:p>
            <w:pPr>
              <w:pStyle w:val="ListParagraph"/>
              <w:numPr>
                <w:ilvl w:val="0"/>
                <w:numId w:val="2"/>
              </w:numPr>
              <w:spacing w:after="40" w:before="0"/>
            </w:pPr>
            <w:r>
              <w:rPr>
                <w:rFonts w:ascii="Calibri" w:cs="Arial" w:eastAsia="Arial" w:hAnsi="Calibri"/>
                <w:b w:val="0"/>
                <w:i w:val="0"/>
                <w:color w:val="000000"/>
                <w:sz w:val="22"/>
                <w:szCs w:val="17"/>
              </w:rPr>
              <w:t xml:space="preserve">Reviewed 35+ table PostgreSQL schema migrated from Supabase to AWS RDS; traced entity relationships across loan, device, borrower, and transaction domains</w:t>
            </w:r>
          </w:p>
          <w:p>
            <w:pPr>
              <w:pStyle w:val="ListParagraph"/>
              <w:numPr>
                <w:ilvl w:val="0"/>
                <w:numId w:val="2"/>
              </w:numPr>
              <w:spacing w:after="40" w:before="0"/>
            </w:pPr>
            <w:r>
              <w:rPr>
                <w:rFonts w:ascii="Calibri" w:cs="Arial" w:eastAsia="Arial" w:hAnsi="Calibri"/>
                <w:b w:val="0"/>
                <w:i w:val="0"/>
                <w:color w:val="000000"/>
                <w:sz w:val="22"/>
                <w:szCs w:val="17"/>
              </w:rPr>
              <w:t xml:space="preserve">Identified 18 migration files and documented schema evolution history for audit trail compliance</w:t>
            </w:r>
          </w:p>
        </w:tc>
        <w:tc>
          <w:tcPr>
            <w:tcW w:type="dxa" w:w="3026"/>
            <w:tcBorders>
              <w:top w:val="single" w:sz="4"/>
              <w:left w:val="single" w:sz="4"/>
              <w:bottom w:val="single" w:sz="4"/>
              <w:right w:val="single" w:sz="4"/>
            </w:tcBorders>
            <w:tcMar>
              <w:top w:type="dxa" w:w="90"/>
              <w:left w:type="dxa" w:w="120"/>
              <w:bottom w:type="dxa" w:w="90"/>
              <w:right w:type="dxa" w:w="120"/>
            </w:tcMar>
          </w:tcPr>
          <w:p>
            <w:pPr>
              <w:pStyle w:val="ListParagraph"/>
              <w:numPr>
                <w:ilvl w:val="0"/>
                <w:numId w:val="2"/>
              </w:numPr>
              <w:spacing w:after="40" w:before="0"/>
            </w:pPr>
            <w:r>
              <w:rPr>
                <w:rFonts w:ascii="Calibri" w:cs="Arial" w:eastAsia="Arial" w:hAnsi="Calibri"/>
                <w:b w:val="0"/>
                <w:i w:val="0"/>
                <w:color w:val="000000"/>
                <w:sz w:val="22"/>
                <w:szCs w:val="17"/>
              </w:rPr>
              <w:t xml:space="preserve">Systems audit methodology and gap analysis frameworks</w:t>
            </w:r>
          </w:p>
          <w:p>
            <w:pPr>
              <w:pStyle w:val="ListParagraph"/>
              <w:numPr>
                <w:ilvl w:val="0"/>
                <w:numId w:val="2"/>
              </w:numPr>
              <w:spacing w:after="40" w:before="0"/>
            </w:pPr>
            <w:r>
              <w:rPr>
                <w:rFonts w:ascii="Calibri" w:cs="Arial" w:eastAsia="Arial" w:hAnsi="Calibri"/>
                <w:b w:val="0"/>
                <w:i w:val="0"/>
                <w:color w:val="000000"/>
                <w:sz w:val="22"/>
                <w:szCs w:val="17"/>
              </w:rPr>
              <w:t xml:space="preserve">Relational database schema analysis and entity-relationship modelling</w:t>
            </w:r>
          </w:p>
          <w:p>
            <w:pPr>
              <w:pStyle w:val="ListParagraph"/>
              <w:numPr>
                <w:ilvl w:val="0"/>
                <w:numId w:val="2"/>
              </w:numPr>
              <w:spacing w:after="40" w:before="0"/>
            </w:pPr>
            <w:r>
              <w:rPr>
                <w:rFonts w:ascii="Calibri" w:cs="Arial" w:eastAsia="Arial" w:hAnsi="Calibri"/>
                <w:b w:val="0"/>
                <w:i w:val="0"/>
                <w:color w:val="000000"/>
                <w:sz w:val="22"/>
                <w:szCs w:val="17"/>
              </w:rPr>
              <w:t xml:space="preserve">Cloud infrastructure security review (AWS VPC, WAF, Cognito authentication)</w:t>
            </w:r>
          </w:p>
        </w:tc>
      </w:tr>
      <w:tr>
        <w:tc>
          <w:tcPr>
            <w:tcW w:type="dxa" w:w="1200"/>
            <w:tcBorders>
              <w:top w:val="single" w:sz="4"/>
              <w:left w:val="single" w:sz="4"/>
              <w:bottom w:val="single" w:sz="4"/>
              <w:right w:val="single" w:sz="4"/>
            </w:tcBorders>
            <w:tcMar>
              <w:top w:type="dxa" w:w="90"/>
              <w:left w:type="dxa" w:w="120"/>
              <w:bottom w:type="dxa" w:w="90"/>
              <w:right w:type="dxa" w:w="120"/>
            </w:tcMar>
            <w:vAlign w:val="center"/>
          </w:tcPr>
          <w:p>
            <w:pPr>
              <w:jc w:val="center"/>
            </w:pPr>
            <w:r>
              <w:rPr>
                <w:rFonts w:ascii="Calibri" w:cs="Arial" w:eastAsia="Arial" w:hAnsi="Calibri"/>
                <w:b w:val="0"/>
                <w:bCs/>
                <w:i w:val="0"/>
                <w:color w:val="000000"/>
                <w:sz w:val="22"/>
                <w:szCs w:val="17"/>
              </w:rPr>
              <w:t xml:space="preserve">21 Oct 2025</w:t>
            </w:r>
          </w:p>
        </w:tc>
        <w:tc>
          <w:tcPr>
            <w:tcW w:type="dxa" w:w="4800"/>
            <w:tcBorders>
              <w:top w:val="single" w:sz="4"/>
              <w:left w:val="single" w:sz="4"/>
              <w:bottom w:val="single" w:sz="4"/>
              <w:right w:val="single" w:sz="4"/>
            </w:tcBorders>
            <w:tcMar>
              <w:top w:type="dxa" w:w="90"/>
              <w:left w:type="dxa" w:w="120"/>
              <w:bottom w:type="dxa" w:w="90"/>
              <w:right w:type="dxa" w:w="120"/>
            </w:tcMar>
          </w:tcPr>
          <w:p>
            <w:pPr>
              <w:spacing w:after="30" w:before="60"/>
            </w:pPr>
            <w:r>
              <w:rPr>
                <w:rFonts w:ascii="Calibri" w:cs="Arial" w:eastAsia="Arial" w:hAnsi="Calibri"/>
                <w:b w:val="0"/>
                <w:bCs/>
                <w:i w:val="0"/>
                <w:color w:val="000000"/>
                <w:sz w:val="22"/>
                <w:szCs w:val="17"/>
              </w:rPr>
              <w:t xml:space="preserve">Admin Panel User Journey Testing</w:t>
            </w:r>
          </w:p>
          <w:p>
            <w:pPr>
              <w:pStyle w:val="ListParagraph"/>
              <w:numPr>
                <w:ilvl w:val="0"/>
                <w:numId w:val="2"/>
              </w:numPr>
              <w:spacing w:after="40" w:before="0"/>
            </w:pPr>
            <w:r>
              <w:rPr>
                <w:rFonts w:ascii="Calibri" w:cs="Arial" w:eastAsia="Arial" w:hAnsi="Calibri"/>
                <w:b w:val="0"/>
                <w:i w:val="0"/>
                <w:color w:val="000000"/>
                <w:sz w:val="22"/>
                <w:szCs w:val="17"/>
              </w:rPr>
              <w:t xml:space="preserve">Designed and executed structured test cases for all admin panel user journeys: borrower onboarding, KYC review, device assignment, loan approval, repayment tracking, and distributor management</w:t>
            </w:r>
          </w:p>
          <w:p>
            <w:pPr>
              <w:pStyle w:val="ListParagraph"/>
              <w:numPr>
                <w:ilvl w:val="0"/>
                <w:numId w:val="2"/>
              </w:numPr>
              <w:spacing w:after="40" w:before="0"/>
            </w:pPr>
            <w:r>
              <w:rPr>
                <w:rFonts w:ascii="Calibri" w:cs="Arial" w:eastAsia="Arial" w:hAnsi="Calibri"/>
                <w:b w:val="0"/>
                <w:i w:val="0"/>
                <w:color w:val="000000"/>
                <w:sz w:val="22"/>
                <w:szCs w:val="17"/>
              </w:rPr>
              <w:t xml:space="preserve">Classified each journey as Pass / Partial / Fail and mapped root causes to frontend (Next.js), API gateway (Lambda), core banking (Fineract), identity (Cognito), or external service layer</w:t>
            </w:r>
          </w:p>
          <w:p>
            <w:pPr>
              <w:pStyle w:val="ListParagraph"/>
              <w:numPr>
                <w:ilvl w:val="0"/>
                <w:numId w:val="2"/>
              </w:numPr>
              <w:spacing w:after="40" w:before="0"/>
            </w:pPr>
            <w:r>
              <w:rPr>
                <w:rFonts w:ascii="Calibri" w:cs="Arial" w:eastAsia="Arial" w:hAnsi="Calibri"/>
                <w:b w:val="0"/>
                <w:i w:val="0"/>
                <w:color w:val="000000"/>
                <w:sz w:val="22"/>
                <w:szCs w:val="17"/>
              </w:rPr>
              <w:t xml:space="preserve">Generated a prioritised blocker report with severity rankings (Critical / High / Medium / Low) and recommended fixes for each failed journey</w:t>
            </w:r>
          </w:p>
          <w:p>
            <w:pPr>
              <w:spacing w:after="30" w:before="60"/>
            </w:pPr>
            <w:r>
              <w:rPr>
                <w:rFonts w:ascii="Calibri" w:cs="Arial" w:eastAsia="Arial" w:hAnsi="Calibri"/>
                <w:b w:val="0"/>
                <w:bCs/>
                <w:i w:val="0"/>
                <w:color w:val="000000"/>
                <w:sz w:val="22"/>
                <w:szCs w:val="17"/>
              </w:rPr>
              <w:t xml:space="preserve">WhatsApp Flow Architecture</w:t>
            </w:r>
          </w:p>
          <w:p>
            <w:pPr>
              <w:pStyle w:val="ListParagraph"/>
              <w:numPr>
                <w:ilvl w:val="0"/>
                <w:numId w:val="2"/>
              </w:numPr>
              <w:spacing w:after="40" w:before="0"/>
            </w:pPr>
            <w:r>
              <w:rPr>
                <w:rFonts w:ascii="Calibri" w:cs="Arial" w:eastAsia="Arial" w:hAnsi="Calibri"/>
                <w:b w:val="0"/>
                <w:i w:val="0"/>
                <w:color w:val="000000"/>
                <w:sz w:val="22"/>
                <w:szCs w:val="17"/>
              </w:rPr>
              <w:t xml:space="preserve">Mapped the complete WhatsApp-first loan origination flow: user initiates via WhatsApp Cloud API → whatsapp-service Lambda → borrower record creation → KYC trigger → credit scoring → product selection → Fineract loan account creation</w:t>
            </w:r>
          </w:p>
          <w:p>
            <w:pPr>
              <w:pStyle w:val="ListParagraph"/>
              <w:numPr>
                <w:ilvl w:val="0"/>
                <w:numId w:val="2"/>
              </w:numPr>
              <w:spacing w:after="40" w:before="0"/>
            </w:pPr>
            <w:r>
              <w:rPr>
                <w:rFonts w:ascii="Calibri" w:cs="Arial" w:eastAsia="Arial" w:hAnsi="Calibri"/>
                <w:b w:val="0"/>
                <w:i w:val="0"/>
                <w:color w:val="000000"/>
                <w:sz w:val="22"/>
                <w:szCs w:val="17"/>
              </w:rPr>
              <w:t xml:space="preserve">Identified hardcoded product menu as a High-severity gap preventing dynamic product configuration</w:t>
            </w:r>
          </w:p>
        </w:tc>
        <w:tc>
          <w:tcPr>
            <w:tcW w:type="dxa" w:w="3026"/>
            <w:tcBorders>
              <w:top w:val="single" w:sz="4"/>
              <w:left w:val="single" w:sz="4"/>
              <w:bottom w:val="single" w:sz="4"/>
              <w:right w:val="single" w:sz="4"/>
            </w:tcBorders>
            <w:tcMar>
              <w:top w:type="dxa" w:w="90"/>
              <w:left w:type="dxa" w:w="120"/>
              <w:bottom w:type="dxa" w:w="90"/>
              <w:right w:type="dxa" w:w="120"/>
            </w:tcMar>
          </w:tcPr>
          <w:p>
            <w:pPr>
              <w:pStyle w:val="ListParagraph"/>
              <w:numPr>
                <w:ilvl w:val="0"/>
                <w:numId w:val="2"/>
              </w:numPr>
              <w:spacing w:after="40" w:before="0"/>
            </w:pPr>
            <w:r>
              <w:rPr>
                <w:rFonts w:ascii="Calibri" w:cs="Arial" w:eastAsia="Arial" w:hAnsi="Calibri"/>
                <w:b w:val="0"/>
                <w:i w:val="0"/>
                <w:color w:val="000000"/>
                <w:sz w:val="22"/>
                <w:szCs w:val="17"/>
              </w:rPr>
              <w:t xml:space="preserve">Formal software testing methodology (functional, integration, user acceptance testing)</w:t>
            </w:r>
          </w:p>
          <w:p>
            <w:pPr>
              <w:pStyle w:val="ListParagraph"/>
              <w:numPr>
                <w:ilvl w:val="0"/>
                <w:numId w:val="2"/>
              </w:numPr>
              <w:spacing w:after="40" w:before="0"/>
            </w:pPr>
            <w:r>
              <w:rPr>
                <w:rFonts w:ascii="Calibri" w:cs="Arial" w:eastAsia="Arial" w:hAnsi="Calibri"/>
                <w:b w:val="0"/>
                <w:i w:val="0"/>
                <w:color w:val="000000"/>
                <w:sz w:val="22"/>
                <w:szCs w:val="17"/>
              </w:rPr>
              <w:t xml:space="preserve">API gateway architecture and webhook-based event-driven design</w:t>
            </w:r>
          </w:p>
          <w:p>
            <w:pPr>
              <w:pStyle w:val="ListParagraph"/>
              <w:numPr>
                <w:ilvl w:val="0"/>
                <w:numId w:val="2"/>
              </w:numPr>
              <w:spacing w:after="40" w:before="0"/>
            </w:pPr>
            <w:r>
              <w:rPr>
                <w:rFonts w:ascii="Calibri" w:cs="Arial" w:eastAsia="Arial" w:hAnsi="Calibri"/>
                <w:b w:val="0"/>
                <w:i w:val="0"/>
                <w:color w:val="000000"/>
                <w:sz w:val="22"/>
                <w:szCs w:val="17"/>
              </w:rPr>
              <w:t xml:space="preserve">UX heuristic evaluation frameworks applied to financial services interfaces</w:t>
            </w:r>
          </w:p>
        </w:tc>
      </w:tr>
      <w:tr>
        <w:tc>
          <w:tcPr>
            <w:tcW w:type="dxa" w:w="1200"/>
            <w:tcBorders>
              <w:top w:val="single" w:sz="4"/>
              <w:left w:val="single" w:sz="4"/>
              <w:bottom w:val="single" w:sz="4"/>
              <w:right w:val="single" w:sz="4"/>
            </w:tcBorders>
            <w:tcMar>
              <w:top w:type="dxa" w:w="90"/>
              <w:left w:type="dxa" w:w="120"/>
              <w:bottom w:type="dxa" w:w="90"/>
              <w:right w:type="dxa" w:w="120"/>
            </w:tcMar>
            <w:vAlign w:val="center"/>
          </w:tcPr>
          <w:p>
            <w:pPr>
              <w:jc w:val="center"/>
            </w:pPr>
            <w:r>
              <w:rPr>
                <w:rFonts w:ascii="Calibri" w:cs="Arial" w:eastAsia="Arial" w:hAnsi="Calibri"/>
                <w:b w:val="0"/>
                <w:bCs/>
                <w:i w:val="0"/>
                <w:color w:val="000000"/>
                <w:sz w:val="22"/>
                <w:szCs w:val="17"/>
              </w:rPr>
              <w:t xml:space="preserve">28 Oct 2025</w:t>
            </w:r>
          </w:p>
        </w:tc>
        <w:tc>
          <w:tcPr>
            <w:tcW w:type="dxa" w:w="4800"/>
            <w:tcBorders>
              <w:top w:val="single" w:sz="4"/>
              <w:left w:val="single" w:sz="4"/>
              <w:bottom w:val="single" w:sz="4"/>
              <w:right w:val="single" w:sz="4"/>
            </w:tcBorders>
            <w:tcMar>
              <w:top w:type="dxa" w:w="90"/>
              <w:left w:type="dxa" w:w="120"/>
              <w:bottom w:type="dxa" w:w="90"/>
              <w:right w:type="dxa" w:w="120"/>
            </w:tcMar>
          </w:tcPr>
          <w:p>
            <w:pPr>
              <w:spacing w:after="30" w:before="60"/>
            </w:pPr>
            <w:r>
              <w:rPr>
                <w:rFonts w:ascii="Calibri" w:cs="Arial" w:eastAsia="Arial" w:hAnsi="Calibri"/>
                <w:b w:val="0"/>
                <w:bCs/>
                <w:i w:val="0"/>
                <w:color w:val="000000"/>
                <w:sz w:val="22"/>
                <w:szCs w:val="17"/>
              </w:rPr>
              <w:t xml:space="preserve">Fineract Core Banking Integration Research</w:t>
            </w:r>
          </w:p>
          <w:p>
            <w:pPr>
              <w:pStyle w:val="ListParagraph"/>
              <w:numPr>
                <w:ilvl w:val="0"/>
                <w:numId w:val="2"/>
              </w:numPr>
              <w:spacing w:after="40" w:before="0"/>
            </w:pPr>
            <w:r>
              <w:rPr>
                <w:rFonts w:ascii="Calibri" w:cs="Arial" w:eastAsia="Arial" w:hAnsi="Calibri"/>
                <w:b w:val="0"/>
                <w:i w:val="0"/>
                <w:color w:val="000000"/>
                <w:sz w:val="22"/>
                <w:szCs w:val="17"/>
              </w:rPr>
              <w:t xml:space="preserve">Researched Apache Fineract v1.13.0 deployment requirements: Java 17, Spring Boot 3.x, EC2 t3.micro configuration, security group rules, and HTTPS certificate provisioning</w:t>
            </w:r>
          </w:p>
          <w:p>
            <w:pPr>
              <w:pStyle w:val="ListParagraph"/>
              <w:numPr>
                <w:ilvl w:val="0"/>
                <w:numId w:val="2"/>
              </w:numPr>
              <w:spacing w:after="40" w:before="0"/>
            </w:pPr>
            <w:r>
              <w:rPr>
                <w:rFonts w:ascii="Calibri" w:cs="Arial" w:eastAsia="Arial" w:hAnsi="Calibri"/>
                <w:b w:val="0"/>
                <w:i w:val="0"/>
                <w:color w:val="000000"/>
                <w:sz w:val="22"/>
                <w:szCs w:val="17"/>
              </w:rPr>
              <w:t xml:space="preserve">Drafted EC2 deployment runbook covering instance provisioning, RDS connectivity, Fineract configuration properties, and initial data seeding (office, currency USD, GL accounts, payment types)</w:t>
            </w:r>
          </w:p>
          <w:p>
            <w:pPr>
              <w:pStyle w:val="ListParagraph"/>
              <w:numPr>
                <w:ilvl w:val="0"/>
                <w:numId w:val="2"/>
              </w:numPr>
              <w:spacing w:after="40" w:before="0"/>
            </w:pPr>
            <w:r>
              <w:rPr>
                <w:rFonts w:ascii="Calibri" w:cs="Arial" w:eastAsia="Arial" w:hAnsi="Calibri"/>
                <w:b w:val="0"/>
                <w:i w:val="0"/>
                <w:color w:val="000000"/>
                <w:sz w:val="22"/>
                <w:szCs w:val="17"/>
              </w:rPr>
              <w:t xml:space="preserve">Mapped Fineract REST API endpoints to admin panel UI components: /clients, /loans, /loanproducts, /savingsaccounts, /journalentries</w:t>
            </w:r>
          </w:p>
          <w:p>
            <w:pPr>
              <w:spacing w:after="30" w:before="60"/>
            </w:pPr>
            <w:r>
              <w:rPr>
                <w:rFonts w:ascii="Calibri" w:cs="Arial" w:eastAsia="Arial" w:hAnsi="Calibri"/>
                <w:b w:val="0"/>
                <w:bCs/>
                <w:i w:val="0"/>
                <w:color w:val="000000"/>
                <w:sz w:val="22"/>
                <w:szCs w:val="17"/>
              </w:rPr>
              <w:t xml:space="preserve">Informatics Research</w:t>
            </w:r>
          </w:p>
          <w:p>
            <w:pPr>
              <w:pStyle w:val="ListParagraph"/>
              <w:numPr>
                <w:ilvl w:val="0"/>
                <w:numId w:val="2"/>
              </w:numPr>
              <w:spacing w:after="40" w:before="0"/>
            </w:pPr>
            <w:r>
              <w:rPr>
                <w:rFonts w:ascii="Calibri" w:cs="Arial" w:eastAsia="Arial" w:hAnsi="Calibri"/>
                <w:b w:val="0"/>
                <w:i w:val="0"/>
                <w:color w:val="000000"/>
                <w:sz w:val="22"/>
                <w:szCs w:val="17"/>
              </w:rPr>
              <w:t xml:space="preserve">Reviewed CGAP and World Bank digital finance literature on WhatsApp-based loan origination models in Sub-Saharan Africa to benchmark Lynia's approach against established patterns</w:t>
            </w:r>
          </w:p>
        </w:tc>
        <w:tc>
          <w:tcPr>
            <w:tcW w:type="dxa" w:w="3026"/>
            <w:tcBorders>
              <w:top w:val="single" w:sz="4"/>
              <w:left w:val="single" w:sz="4"/>
              <w:bottom w:val="single" w:sz="4"/>
              <w:right w:val="single" w:sz="4"/>
            </w:tcBorders>
            <w:tcMar>
              <w:top w:type="dxa" w:w="90"/>
              <w:left w:type="dxa" w:w="120"/>
              <w:bottom w:type="dxa" w:w="90"/>
              <w:right w:type="dxa" w:w="120"/>
            </w:tcMar>
          </w:tcPr>
          <w:p>
            <w:pPr>
              <w:pStyle w:val="ListParagraph"/>
              <w:numPr>
                <w:ilvl w:val="0"/>
                <w:numId w:val="2"/>
              </w:numPr>
              <w:spacing w:after="40" w:before="0"/>
            </w:pPr>
            <w:r>
              <w:rPr>
                <w:rFonts w:ascii="Calibri" w:cs="Arial" w:eastAsia="Arial" w:hAnsi="Calibri"/>
                <w:b w:val="0"/>
                <w:i w:val="0"/>
                <w:color w:val="000000"/>
                <w:sz w:val="22"/>
                <w:szCs w:val="17"/>
              </w:rPr>
              <w:t xml:space="preserve">Core banking system architecture (Apache Fineract data model and API design)</w:t>
            </w:r>
          </w:p>
          <w:p>
            <w:pPr>
              <w:pStyle w:val="ListParagraph"/>
              <w:numPr>
                <w:ilvl w:val="0"/>
                <w:numId w:val="2"/>
              </w:numPr>
              <w:spacing w:after="40" w:before="0"/>
            </w:pPr>
            <w:r>
              <w:rPr>
                <w:rFonts w:ascii="Calibri" w:cs="Arial" w:eastAsia="Arial" w:hAnsi="Calibri"/>
                <w:b w:val="0"/>
                <w:i w:val="0"/>
                <w:color w:val="000000"/>
                <w:sz w:val="22"/>
                <w:szCs w:val="17"/>
              </w:rPr>
              <w:t xml:space="preserve">EC2 deployment and Java application server configuration</w:t>
            </w:r>
          </w:p>
          <w:p>
            <w:pPr>
              <w:pStyle w:val="ListParagraph"/>
              <w:numPr>
                <w:ilvl w:val="0"/>
                <w:numId w:val="2"/>
              </w:numPr>
              <w:spacing w:after="40" w:before="0"/>
            </w:pPr>
            <w:r>
              <w:rPr>
                <w:rFonts w:ascii="Calibri" w:cs="Arial" w:eastAsia="Arial" w:hAnsi="Calibri"/>
                <w:b w:val="0"/>
                <w:i w:val="0"/>
                <w:color w:val="000000"/>
                <w:sz w:val="22"/>
                <w:szCs w:val="17"/>
              </w:rPr>
              <w:t xml:space="preserve">Financial inclusion research literacy (CGAP, World Bank methodology)</w:t>
            </w:r>
          </w:p>
        </w:tc>
      </w:tr>
      <w:tr>
        <w:tc>
          <w:tcPr>
            <w:tcW w:type="dxa" w:w="1200"/>
            <w:tcBorders>
              <w:top w:val="single" w:sz="4"/>
              <w:left w:val="single" w:sz="4"/>
              <w:bottom w:val="single" w:sz="4"/>
              <w:right w:val="single" w:sz="4"/>
            </w:tcBorders>
            <w:tcMar>
              <w:top w:type="dxa" w:w="90"/>
              <w:left w:type="dxa" w:w="120"/>
              <w:bottom w:type="dxa" w:w="90"/>
              <w:right w:type="dxa" w:w="120"/>
            </w:tcMar>
            <w:vAlign w:val="center"/>
          </w:tcPr>
          <w:p>
            <w:pPr>
              <w:jc w:val="center"/>
            </w:pPr>
            <w:r>
              <w:rPr>
                <w:rFonts w:ascii="Calibri" w:cs="Arial" w:eastAsia="Arial" w:hAnsi="Calibri"/>
                <w:b w:val="0"/>
                <w:bCs/>
                <w:i w:val="0"/>
                <w:color w:val="000000"/>
                <w:sz w:val="22"/>
                <w:szCs w:val="17"/>
              </w:rPr>
              <w:t xml:space="preserve">4 Nov 2025</w:t>
            </w:r>
          </w:p>
        </w:tc>
        <w:tc>
          <w:tcPr>
            <w:tcW w:type="dxa" w:w="4800"/>
            <w:tcBorders>
              <w:top w:val="single" w:sz="4"/>
              <w:left w:val="single" w:sz="4"/>
              <w:bottom w:val="single" w:sz="4"/>
              <w:right w:val="single" w:sz="4"/>
            </w:tcBorders>
            <w:tcMar>
              <w:top w:type="dxa" w:w="90"/>
              <w:left w:type="dxa" w:w="120"/>
              <w:bottom w:type="dxa" w:w="90"/>
              <w:right w:type="dxa" w:w="120"/>
            </w:tcMar>
          </w:tcPr>
          <w:p>
            <w:pPr>
              <w:spacing w:after="30" w:before="60"/>
            </w:pPr>
            <w:r>
              <w:rPr>
                <w:rFonts w:ascii="Calibri" w:cs="Arial" w:eastAsia="Arial" w:hAnsi="Calibri"/>
                <w:b w:val="0"/>
                <w:bCs/>
                <w:i w:val="0"/>
                <w:color w:val="000000"/>
                <w:sz w:val="22"/>
                <w:szCs w:val="17"/>
              </w:rPr>
              <w:t xml:space="preserve">Devices &amp; Products Module Architecture</w:t>
            </w:r>
          </w:p>
          <w:p>
            <w:pPr>
              <w:pStyle w:val="ListParagraph"/>
              <w:numPr>
                <w:ilvl w:val="0"/>
                <w:numId w:val="2"/>
              </w:numPr>
              <w:spacing w:after="40" w:before="0"/>
            </w:pPr>
            <w:r>
              <w:rPr>
                <w:rFonts w:ascii="Calibri" w:cs="Arial" w:eastAsia="Arial" w:hAnsi="Calibri"/>
                <w:b w:val="0"/>
                <w:i w:val="0"/>
                <w:color w:val="000000"/>
                <w:sz w:val="22"/>
                <w:szCs w:val="17"/>
              </w:rPr>
              <w:t xml:space="preserve">Produced detailed flow architecture for the Devices and Products admin module, tracing data flow from distributor handover through device assignment to loan product linkage</w:t>
            </w:r>
          </w:p>
          <w:p>
            <w:pPr>
              <w:pStyle w:val="ListParagraph"/>
              <w:numPr>
                <w:ilvl w:val="0"/>
                <w:numId w:val="2"/>
              </w:numPr>
              <w:spacing w:after="40" w:before="0"/>
            </w:pPr>
            <w:r>
              <w:rPr>
                <w:rFonts w:ascii="Calibri" w:cs="Arial" w:eastAsia="Arial" w:hAnsi="Calibri"/>
                <w:b w:val="0"/>
                <w:i w:val="0"/>
                <w:color w:val="000000"/>
                <w:sz w:val="22"/>
                <w:szCs w:val="17"/>
              </w:rPr>
              <w:t xml:space="preserve">Documented four critical integration chains: WhatsApp origination → product selection, device assignment → distributor handover, KYC-to-device-unlock dependency, and Fineract loan account → device lock/unlock via Trustonic API</w:t>
            </w:r>
          </w:p>
          <w:p>
            <w:pPr>
              <w:pStyle w:val="ListParagraph"/>
              <w:numPr>
                <w:ilvl w:val="0"/>
                <w:numId w:val="2"/>
              </w:numPr>
              <w:spacing w:after="40" w:before="0"/>
            </w:pPr>
            <w:r>
              <w:rPr>
                <w:rFonts w:ascii="Calibri" w:cs="Arial" w:eastAsia="Arial" w:hAnsi="Calibri"/>
                <w:b w:val="0"/>
                <w:i w:val="0"/>
                <w:color w:val="000000"/>
                <w:sz w:val="22"/>
                <w:szCs w:val="17"/>
              </w:rPr>
              <w:t xml:space="preserve">Drafted pre-populated SQL queries for auditing device-product relationship integrity across RDS PostgreSQL tables</w:t>
            </w:r>
          </w:p>
          <w:p>
            <w:pPr>
              <w:pStyle w:val="ListParagraph"/>
              <w:numPr>
                <w:ilvl w:val="0"/>
                <w:numId w:val="2"/>
              </w:numPr>
              <w:spacing w:after="40" w:before="0"/>
            </w:pPr>
            <w:r>
              <w:rPr>
                <w:rFonts w:ascii="Calibri" w:cs="Arial" w:eastAsia="Arial" w:hAnsi="Calibri"/>
                <w:b w:val="0"/>
                <w:i w:val="0"/>
                <w:color w:val="000000"/>
                <w:sz w:val="22"/>
                <w:szCs w:val="17"/>
              </w:rPr>
              <w:t xml:space="preserve">Identified missing device-to-product foreign key constraint as a data integrity gap requiring immediate schema migration</w:t>
            </w:r>
          </w:p>
          <w:p>
            <w:pPr>
              <w:spacing w:after="30" w:before="60"/>
            </w:pPr>
            <w:r>
              <w:rPr>
                <w:rFonts w:ascii="Calibri" w:cs="Arial" w:eastAsia="Arial" w:hAnsi="Calibri"/>
                <w:b w:val="0"/>
                <w:bCs/>
                <w:i w:val="0"/>
                <w:color w:val="000000"/>
                <w:sz w:val="22"/>
                <w:szCs w:val="17"/>
              </w:rPr>
              <w:t xml:space="preserve">FinTech Compliance Research</w:t>
            </w:r>
          </w:p>
          <w:p>
            <w:pPr>
              <w:pStyle w:val="ListParagraph"/>
              <w:numPr>
                <w:ilvl w:val="0"/>
                <w:numId w:val="2"/>
              </w:numPr>
              <w:spacing w:after="40" w:before="0"/>
            </w:pPr>
            <w:r>
              <w:rPr>
                <w:rFonts w:ascii="Calibri" w:cs="Arial" w:eastAsia="Arial" w:hAnsi="Calibri"/>
                <w:b w:val="0"/>
                <w:i w:val="0"/>
                <w:color w:val="000000"/>
                <w:sz w:val="22"/>
                <w:szCs w:val="17"/>
              </w:rPr>
              <w:t xml:space="preserve">Reviewed Reserve Bank of Zimbabwe MFI prudential guidelines and Moneylending Act provisions relevant to device-backed lending products</w:t>
            </w:r>
          </w:p>
        </w:tc>
        <w:tc>
          <w:tcPr>
            <w:tcW w:type="dxa" w:w="3026"/>
            <w:tcBorders>
              <w:top w:val="single" w:sz="4"/>
              <w:left w:val="single" w:sz="4"/>
              <w:bottom w:val="single" w:sz="4"/>
              <w:right w:val="single" w:sz="4"/>
            </w:tcBorders>
            <w:tcMar>
              <w:top w:type="dxa" w:w="90"/>
              <w:left w:type="dxa" w:w="120"/>
              <w:bottom w:type="dxa" w:w="90"/>
              <w:right w:type="dxa" w:w="120"/>
            </w:tcMar>
          </w:tcPr>
          <w:p>
            <w:pPr>
              <w:pStyle w:val="ListParagraph"/>
              <w:numPr>
                <w:ilvl w:val="0"/>
                <w:numId w:val="2"/>
              </w:numPr>
              <w:spacing w:after="40" w:before="0"/>
            </w:pPr>
            <w:r>
              <w:rPr>
                <w:rFonts w:ascii="Calibri" w:cs="Arial" w:eastAsia="Arial" w:hAnsi="Calibri"/>
                <w:b w:val="0"/>
                <w:i w:val="0"/>
                <w:color w:val="000000"/>
                <w:sz w:val="22"/>
                <w:szCs w:val="17"/>
              </w:rPr>
              <w:t xml:space="preserve">Full-stack architecture documentation (frontend component → Lambda → RDS → Fineract)</w:t>
            </w:r>
          </w:p>
          <w:p>
            <w:pPr>
              <w:pStyle w:val="ListParagraph"/>
              <w:numPr>
                <w:ilvl w:val="0"/>
                <w:numId w:val="2"/>
              </w:numPr>
              <w:spacing w:after="40" w:before="0"/>
            </w:pPr>
            <w:r>
              <w:rPr>
                <w:rFonts w:ascii="Calibri" w:cs="Arial" w:eastAsia="Arial" w:hAnsi="Calibri"/>
                <w:b w:val="0"/>
                <w:i w:val="0"/>
                <w:color w:val="000000"/>
                <w:sz w:val="22"/>
                <w:szCs w:val="17"/>
              </w:rPr>
              <w:t xml:space="preserve">Database integrity analysis and foreign key constraint design</w:t>
            </w:r>
          </w:p>
          <w:p>
            <w:pPr>
              <w:pStyle w:val="ListParagraph"/>
              <w:numPr>
                <w:ilvl w:val="0"/>
                <w:numId w:val="2"/>
              </w:numPr>
              <w:spacing w:after="40" w:before="0"/>
            </w:pPr>
            <w:r>
              <w:rPr>
                <w:rFonts w:ascii="Calibri" w:cs="Arial" w:eastAsia="Arial" w:hAnsi="Calibri"/>
                <w:b w:val="0"/>
                <w:i w:val="0"/>
                <w:color w:val="000000"/>
                <w:sz w:val="22"/>
                <w:szCs w:val="17"/>
              </w:rPr>
              <w:t xml:space="preserve">FinTech regulatory compliance research (RBZ MFI framework, Moneylending Act)</w:t>
            </w:r>
          </w:p>
        </w:tc>
      </w:tr>
      <w:tr>
        <w:tc>
          <w:tcPr>
            <w:tcW w:type="dxa" w:w="1200"/>
            <w:tcBorders>
              <w:top w:val="single" w:sz="4"/>
              <w:left w:val="single" w:sz="4"/>
              <w:bottom w:val="single" w:sz="4"/>
              <w:right w:val="single" w:sz="4"/>
            </w:tcBorders>
            <w:tcMar>
              <w:top w:type="dxa" w:w="90"/>
              <w:left w:type="dxa" w:w="120"/>
              <w:bottom w:type="dxa" w:w="90"/>
              <w:right w:type="dxa" w:w="120"/>
            </w:tcMar>
            <w:vAlign w:val="center"/>
          </w:tcPr>
          <w:p>
            <w:pPr>
              <w:jc w:val="center"/>
            </w:pPr>
            <w:r>
              <w:rPr>
                <w:rFonts w:ascii="Calibri" w:cs="Arial" w:eastAsia="Arial" w:hAnsi="Calibri"/>
                <w:b w:val="0"/>
                <w:bCs/>
                <w:i w:val="0"/>
                <w:color w:val="000000"/>
                <w:sz w:val="22"/>
                <w:szCs w:val="17"/>
              </w:rPr>
              <w:t xml:space="preserve">11 Nov 2025</w:t>
            </w:r>
          </w:p>
        </w:tc>
        <w:tc>
          <w:tcPr>
            <w:tcW w:type="dxa" w:w="4800"/>
            <w:tcBorders>
              <w:top w:val="single" w:sz="4"/>
              <w:left w:val="single" w:sz="4"/>
              <w:bottom w:val="single" w:sz="4"/>
              <w:right w:val="single" w:sz="4"/>
            </w:tcBorders>
            <w:tcMar>
              <w:top w:type="dxa" w:w="90"/>
              <w:left w:type="dxa" w:w="120"/>
              <w:bottom w:type="dxa" w:w="90"/>
              <w:right w:type="dxa" w:w="120"/>
            </w:tcMar>
          </w:tcPr>
          <w:p>
            <w:pPr>
              <w:spacing w:after="30" w:before="60"/>
            </w:pPr>
            <w:r>
              <w:rPr>
                <w:rFonts w:ascii="Calibri" w:cs="Arial" w:eastAsia="Arial" w:hAnsi="Calibri"/>
                <w:b w:val="0"/>
                <w:bCs/>
                <w:i w:val="0"/>
                <w:color w:val="000000"/>
                <w:sz w:val="22"/>
                <w:szCs w:val="17"/>
              </w:rPr>
              <w:t xml:space="preserve">Credit Scoring Algorithm Research</w:t>
            </w:r>
          </w:p>
          <w:p>
            <w:pPr>
              <w:pStyle w:val="ListParagraph"/>
              <w:numPr>
                <w:ilvl w:val="0"/>
                <w:numId w:val="2"/>
              </w:numPr>
              <w:spacing w:after="40" w:before="0"/>
            </w:pPr>
            <w:r>
              <w:rPr>
                <w:rFonts w:ascii="Calibri" w:cs="Arial" w:eastAsia="Arial" w:hAnsi="Calibri"/>
                <w:b w:val="0"/>
                <w:i w:val="0"/>
                <w:color w:val="000000"/>
                <w:sz w:val="22"/>
                <w:szCs w:val="17"/>
              </w:rPr>
              <w:t xml:space="preserve">Researched alternative credit scoring methodologies applicable to Zimbabwe's informal economy: mobile money transaction history analysis, behavioural scoring, and psychometric credit models</w:t>
            </w:r>
          </w:p>
          <w:p>
            <w:pPr>
              <w:pStyle w:val="ListParagraph"/>
              <w:numPr>
                <w:ilvl w:val="0"/>
                <w:numId w:val="2"/>
              </w:numPr>
              <w:spacing w:after="40" w:before="0"/>
            </w:pPr>
            <w:r>
              <w:rPr>
                <w:rFonts w:ascii="Calibri" w:cs="Arial" w:eastAsia="Arial" w:hAnsi="Calibri"/>
                <w:b w:val="0"/>
                <w:i w:val="0"/>
                <w:color w:val="000000"/>
                <w:sz w:val="22"/>
                <w:szCs w:val="17"/>
              </w:rPr>
              <w:t xml:space="preserve">Reviewed InDrive Money's 100,000+ loan portfolio and 57% repeat borrower rate as a benchmark for platform-facilitated informal sector lending</w:t>
            </w:r>
          </w:p>
          <w:p>
            <w:pPr>
              <w:pStyle w:val="ListParagraph"/>
              <w:numPr>
                <w:ilvl w:val="0"/>
                <w:numId w:val="2"/>
              </w:numPr>
              <w:spacing w:after="40" w:before="0"/>
            </w:pPr>
            <w:r>
              <w:rPr>
                <w:rFonts w:ascii="Calibri" w:cs="Arial" w:eastAsia="Arial" w:hAnsi="Calibri"/>
                <w:b w:val="0"/>
                <w:i w:val="0"/>
                <w:color w:val="000000"/>
                <w:sz w:val="22"/>
                <w:szCs w:val="17"/>
              </w:rPr>
              <w:t xml:space="preserve">Analysed ICRA Rating Zimbabwe MFI industry review data: sector portfolio-at-risk benchmark of 11.61% used to calibrate default rate assumptions</w:t>
            </w:r>
          </w:p>
          <w:p>
            <w:pPr>
              <w:spacing w:after="30" w:before="60"/>
            </w:pPr>
            <w:r>
              <w:rPr>
                <w:rFonts w:ascii="Calibri" w:cs="Arial" w:eastAsia="Arial" w:hAnsi="Calibri"/>
                <w:b w:val="0"/>
                <w:bCs/>
                <w:i w:val="0"/>
                <w:color w:val="000000"/>
                <w:sz w:val="22"/>
                <w:szCs w:val="17"/>
              </w:rPr>
              <w:t xml:space="preserve">Risk Model Development</w:t>
            </w:r>
          </w:p>
          <w:p>
            <w:pPr>
              <w:pStyle w:val="ListParagraph"/>
              <w:numPr>
                <w:ilvl w:val="0"/>
                <w:numId w:val="2"/>
              </w:numPr>
              <w:spacing w:after="40" w:before="0"/>
            </w:pPr>
            <w:r>
              <w:rPr>
                <w:rFonts w:ascii="Calibri" w:cs="Arial" w:eastAsia="Arial" w:hAnsi="Calibri"/>
                <w:b w:val="0"/>
                <w:i w:val="0"/>
                <w:color w:val="000000"/>
                <w:sz w:val="22"/>
                <w:szCs w:val="17"/>
              </w:rPr>
              <w:t xml:space="preserve">Designed a tiered risk segmentation framework for civil servant borrowers: salary band, SSB payroll deduction eligibility, net-pay-after-deductions ratio, and employment tenure</w:t>
            </w:r>
          </w:p>
          <w:p>
            <w:pPr>
              <w:pStyle w:val="ListParagraph"/>
              <w:numPr>
                <w:ilvl w:val="0"/>
                <w:numId w:val="2"/>
              </w:numPr>
              <w:spacing w:after="40" w:before="0"/>
            </w:pPr>
            <w:r>
              <w:rPr>
                <w:rFonts w:ascii="Calibri" w:cs="Arial" w:eastAsia="Arial" w:hAnsi="Calibri"/>
                <w:b w:val="0"/>
                <w:i w:val="0"/>
                <w:color w:val="000000"/>
                <w:sz w:val="22"/>
                <w:szCs w:val="17"/>
              </w:rPr>
              <w:t xml:space="preserve">Developed initial scoring algorithm logic for the scoring-service Lambda, incorporating RBZ-aligned parameters</w:t>
            </w:r>
          </w:p>
        </w:tc>
        <w:tc>
          <w:tcPr>
            <w:tcW w:type="dxa" w:w="3026"/>
            <w:tcBorders>
              <w:top w:val="single" w:sz="4"/>
              <w:left w:val="single" w:sz="4"/>
              <w:bottom w:val="single" w:sz="4"/>
              <w:right w:val="single" w:sz="4"/>
            </w:tcBorders>
            <w:tcMar>
              <w:top w:type="dxa" w:w="90"/>
              <w:left w:type="dxa" w:w="120"/>
              <w:bottom w:type="dxa" w:w="90"/>
              <w:right w:type="dxa" w:w="120"/>
            </w:tcMar>
          </w:tcPr>
          <w:p>
            <w:pPr>
              <w:pStyle w:val="ListParagraph"/>
              <w:numPr>
                <w:ilvl w:val="0"/>
                <w:numId w:val="2"/>
              </w:numPr>
              <w:spacing w:after="40" w:before="0"/>
            </w:pPr>
            <w:r>
              <w:rPr>
                <w:rFonts w:ascii="Calibri" w:cs="Arial" w:eastAsia="Arial" w:hAnsi="Calibri"/>
                <w:b w:val="0"/>
                <w:i w:val="0"/>
                <w:color w:val="000000"/>
                <w:sz w:val="22"/>
                <w:szCs w:val="17"/>
              </w:rPr>
              <w:t xml:space="preserve">Credit risk modelling for emerging market microfinance contexts</w:t>
            </w:r>
          </w:p>
          <w:p>
            <w:pPr>
              <w:pStyle w:val="ListParagraph"/>
              <w:numPr>
                <w:ilvl w:val="0"/>
                <w:numId w:val="2"/>
              </w:numPr>
              <w:spacing w:after="40" w:before="0"/>
            </w:pPr>
            <w:r>
              <w:rPr>
                <w:rFonts w:ascii="Calibri" w:cs="Arial" w:eastAsia="Arial" w:hAnsi="Calibri"/>
                <w:b w:val="0"/>
                <w:i w:val="0"/>
                <w:color w:val="000000"/>
                <w:sz w:val="22"/>
                <w:szCs w:val="17"/>
              </w:rPr>
              <w:t xml:space="preserve">Alternative data-driven credit assessment methodologies</w:t>
            </w:r>
          </w:p>
          <w:p>
            <w:pPr>
              <w:pStyle w:val="ListParagraph"/>
              <w:numPr>
                <w:ilvl w:val="0"/>
                <w:numId w:val="2"/>
              </w:numPr>
              <w:spacing w:after="40" w:before="0"/>
            </w:pPr>
            <w:r>
              <w:rPr>
                <w:rFonts w:ascii="Calibri" w:cs="Arial" w:eastAsia="Arial" w:hAnsi="Calibri"/>
                <w:b w:val="0"/>
                <w:i w:val="0"/>
                <w:color w:val="000000"/>
                <w:sz w:val="22"/>
                <w:szCs w:val="17"/>
              </w:rPr>
              <w:t xml:space="preserve">Statistical benchmarking using industry portfolio performance data</w:t>
            </w:r>
          </w:p>
        </w:tc>
      </w:tr>
      <w:tr>
        <w:tc>
          <w:tcPr>
            <w:tcW w:type="dxa" w:w="1200"/>
            <w:tcBorders>
              <w:top w:val="single" w:sz="4"/>
              <w:left w:val="single" w:sz="4"/>
              <w:bottom w:val="single" w:sz="4"/>
              <w:right w:val="single" w:sz="4"/>
            </w:tcBorders>
            <w:tcMar>
              <w:top w:type="dxa" w:w="90"/>
              <w:left w:type="dxa" w:w="120"/>
              <w:bottom w:type="dxa" w:w="90"/>
              <w:right w:type="dxa" w:w="120"/>
            </w:tcMar>
            <w:vAlign w:val="center"/>
          </w:tcPr>
          <w:p>
            <w:pPr>
              <w:jc w:val="center"/>
            </w:pPr>
            <w:r>
              <w:rPr>
                <w:rFonts w:ascii="Calibri" w:cs="Arial" w:eastAsia="Arial" w:hAnsi="Calibri"/>
                <w:b w:val="0"/>
                <w:bCs/>
                <w:i w:val="0"/>
                <w:color w:val="000000"/>
                <w:sz w:val="22"/>
                <w:szCs w:val="17"/>
              </w:rPr>
              <w:t xml:space="preserve">18 Nov 2025</w:t>
            </w:r>
          </w:p>
        </w:tc>
        <w:tc>
          <w:tcPr>
            <w:tcW w:type="dxa" w:w="4800"/>
            <w:tcBorders>
              <w:top w:val="single" w:sz="4"/>
              <w:left w:val="single" w:sz="4"/>
              <w:bottom w:val="single" w:sz="4"/>
              <w:right w:val="single" w:sz="4"/>
            </w:tcBorders>
            <w:tcMar>
              <w:top w:type="dxa" w:w="90"/>
              <w:left w:type="dxa" w:w="120"/>
              <w:bottom w:type="dxa" w:w="90"/>
              <w:right w:type="dxa" w:w="120"/>
            </w:tcMar>
          </w:tcPr>
          <w:p>
            <w:pPr>
              <w:spacing w:after="30" w:before="60"/>
            </w:pPr>
            <w:r>
              <w:rPr>
                <w:rFonts w:ascii="Calibri" w:cs="Arial" w:eastAsia="Arial" w:hAnsi="Calibri"/>
                <w:b w:val="0"/>
                <w:bCs/>
                <w:i w:val="0"/>
                <w:color w:val="000000"/>
                <w:sz w:val="22"/>
                <w:szCs w:val="17"/>
              </w:rPr>
              <w:t xml:space="preserve">Mobile Money Integration Architecture</w:t>
            </w:r>
          </w:p>
          <w:p>
            <w:pPr>
              <w:pStyle w:val="ListParagraph"/>
              <w:numPr>
                <w:ilvl w:val="0"/>
                <w:numId w:val="2"/>
              </w:numPr>
              <w:spacing w:after="40" w:before="0"/>
            </w:pPr>
            <w:r>
              <w:rPr>
                <w:rFonts w:ascii="Calibri" w:cs="Arial" w:eastAsia="Arial" w:hAnsi="Calibri"/>
                <w:b w:val="0"/>
                <w:i w:val="0"/>
                <w:color w:val="000000"/>
                <w:sz w:val="22"/>
                <w:szCs w:val="17"/>
              </w:rPr>
              <w:t xml:space="preserve">Conducted discovery research on EcoCash, InnBucks MicroBank, and O'mari (Old Mutual) payment API integration patterns for automated loan disbursement and collection</w:t>
            </w:r>
          </w:p>
          <w:p>
            <w:pPr>
              <w:pStyle w:val="ListParagraph"/>
              <w:numPr>
                <w:ilvl w:val="0"/>
                <w:numId w:val="2"/>
              </w:numPr>
              <w:spacing w:after="40" w:before="0"/>
            </w:pPr>
            <w:r>
              <w:rPr>
                <w:rFonts w:ascii="Calibri" w:cs="Arial" w:eastAsia="Arial" w:hAnsi="Calibri"/>
                <w:b w:val="0"/>
                <w:i w:val="0"/>
                <w:color w:val="000000"/>
                <w:sz w:val="22"/>
                <w:szCs w:val="17"/>
              </w:rPr>
              <w:t xml:space="preserve">Drafted technical questionnaires for partner API engineering teams covering: webhook reliability and signing, standing debit mandate support, idempotency key implementation, sandbox environment availability, and transaction reference format specifications</w:t>
            </w:r>
          </w:p>
          <w:p>
            <w:pPr>
              <w:pStyle w:val="ListParagraph"/>
              <w:numPr>
                <w:ilvl w:val="0"/>
                <w:numId w:val="2"/>
              </w:numPr>
              <w:spacing w:after="40" w:before="0"/>
            </w:pPr>
            <w:r>
              <w:rPr>
                <w:rFonts w:ascii="Calibri" w:cs="Arial" w:eastAsia="Arial" w:hAnsi="Calibri"/>
                <w:b w:val="0"/>
                <w:i w:val="0"/>
                <w:color w:val="000000"/>
                <w:sz w:val="22"/>
                <w:szCs w:val="17"/>
              </w:rPr>
              <w:t xml:space="preserve">Analysed the critical dependency: the automated collections model viability depends entirely on partner support for pull payments without per-transaction PIN authorisation</w:t>
            </w:r>
          </w:p>
          <w:p>
            <w:pPr>
              <w:spacing w:after="30" w:before="60"/>
            </w:pPr>
            <w:r>
              <w:rPr>
                <w:rFonts w:ascii="Calibri" w:cs="Arial" w:eastAsia="Arial" w:hAnsi="Calibri"/>
                <w:b w:val="0"/>
                <w:bCs/>
                <w:i w:val="0"/>
                <w:color w:val="000000"/>
                <w:sz w:val="22"/>
                <w:szCs w:val="17"/>
              </w:rPr>
              <w:t xml:space="preserve">Database Schema Design</w:t>
            </w:r>
          </w:p>
          <w:p>
            <w:pPr>
              <w:pStyle w:val="ListParagraph"/>
              <w:numPr>
                <w:ilvl w:val="0"/>
                <w:numId w:val="2"/>
              </w:numPr>
              <w:spacing w:after="40" w:before="0"/>
            </w:pPr>
            <w:r>
              <w:rPr>
                <w:rFonts w:ascii="Calibri" w:cs="Arial" w:eastAsia="Arial" w:hAnsi="Calibri"/>
                <w:b w:val="0"/>
                <w:i w:val="0"/>
                <w:color w:val="000000"/>
                <w:sz w:val="22"/>
                <w:szCs w:val="17"/>
              </w:rPr>
              <w:t xml:space="preserve">Designed provider-specific payments table extension: added provider_txn_id column with regex validator per partner (EcoCash, InnBucks, O'mari) to support reconciliation against Fineract journal entries</w:t>
            </w:r>
          </w:p>
          <w:p>
            <w:pPr>
              <w:pStyle w:val="ListParagraph"/>
              <w:numPr>
                <w:ilvl w:val="0"/>
                <w:numId w:val="2"/>
              </w:numPr>
              <w:spacing w:after="40" w:before="0"/>
            </w:pPr>
            <w:r>
              <w:rPr>
                <w:rFonts w:ascii="Calibri" w:cs="Arial" w:eastAsia="Arial" w:hAnsi="Calibri"/>
                <w:b w:val="0"/>
                <w:i w:val="0"/>
                <w:color w:val="000000"/>
                <w:sz w:val="22"/>
                <w:szCs w:val="17"/>
              </w:rPr>
              <w:t xml:space="preserve">Normalised SQL tables for loan repayment tracking: separated principal, interest, fees, and insurance premium into distinct ledger lines</w:t>
            </w:r>
          </w:p>
        </w:tc>
        <w:tc>
          <w:tcPr>
            <w:tcW w:type="dxa" w:w="3026"/>
            <w:tcBorders>
              <w:top w:val="single" w:sz="4"/>
              <w:left w:val="single" w:sz="4"/>
              <w:bottom w:val="single" w:sz="4"/>
              <w:right w:val="single" w:sz="4"/>
            </w:tcBorders>
            <w:tcMar>
              <w:top w:type="dxa" w:w="90"/>
              <w:left w:type="dxa" w:w="120"/>
              <w:bottom w:type="dxa" w:w="90"/>
              <w:right w:type="dxa" w:w="120"/>
            </w:tcMar>
          </w:tcPr>
          <w:p>
            <w:pPr>
              <w:pStyle w:val="ListParagraph"/>
              <w:numPr>
                <w:ilvl w:val="0"/>
                <w:numId w:val="2"/>
              </w:numPr>
              <w:spacing w:after="40" w:before="0"/>
            </w:pPr>
            <w:r>
              <w:rPr>
                <w:rFonts w:ascii="Calibri" w:cs="Arial" w:eastAsia="Arial" w:hAnsi="Calibri"/>
                <w:b w:val="0"/>
                <w:i w:val="0"/>
                <w:color w:val="000000"/>
                <w:sz w:val="22"/>
                <w:szCs w:val="17"/>
              </w:rPr>
              <w:t xml:space="preserve">Payment API integration architecture (webhook design, idempotency patterns)</w:t>
            </w:r>
          </w:p>
          <w:p>
            <w:pPr>
              <w:pStyle w:val="ListParagraph"/>
              <w:numPr>
                <w:ilvl w:val="0"/>
                <w:numId w:val="2"/>
              </w:numPr>
              <w:spacing w:after="40" w:before="0"/>
            </w:pPr>
            <w:r>
              <w:rPr>
                <w:rFonts w:ascii="Calibri" w:cs="Arial" w:eastAsia="Arial" w:hAnsi="Calibri"/>
                <w:b w:val="0"/>
                <w:i w:val="0"/>
                <w:color w:val="000000"/>
                <w:sz w:val="22"/>
                <w:szCs w:val="17"/>
              </w:rPr>
              <w:t xml:space="preserve">Database normalisation for financial transaction ledger systems</w:t>
            </w:r>
          </w:p>
          <w:p>
            <w:pPr>
              <w:pStyle w:val="ListParagraph"/>
              <w:numPr>
                <w:ilvl w:val="0"/>
                <w:numId w:val="2"/>
              </w:numPr>
              <w:spacing w:after="40" w:before="0"/>
            </w:pPr>
            <w:r>
              <w:rPr>
                <w:rFonts w:ascii="Calibri" w:cs="Arial" w:eastAsia="Arial" w:hAnsi="Calibri"/>
                <w:b w:val="0"/>
                <w:i w:val="0"/>
                <w:color w:val="000000"/>
                <w:sz w:val="22"/>
                <w:szCs w:val="17"/>
              </w:rPr>
              <w:t xml:space="preserve">Fintech partnership due diligence and technical assessment frameworks</w:t>
            </w:r>
          </w:p>
        </w:tc>
      </w:tr>
      <w:tr>
        <w:tc>
          <w:tcPr>
            <w:tcW w:type="dxa" w:w="1200"/>
            <w:tcBorders>
              <w:top w:val="single" w:sz="4"/>
              <w:left w:val="single" w:sz="4"/>
              <w:bottom w:val="single" w:sz="4"/>
              <w:right w:val="single" w:sz="4"/>
            </w:tcBorders>
            <w:tcMar>
              <w:top w:type="dxa" w:w="90"/>
              <w:left w:type="dxa" w:w="120"/>
              <w:bottom w:type="dxa" w:w="90"/>
              <w:right w:type="dxa" w:w="120"/>
            </w:tcMar>
            <w:vAlign w:val="center"/>
          </w:tcPr>
          <w:p>
            <w:pPr>
              <w:jc w:val="center"/>
            </w:pPr>
            <w:r>
              <w:rPr>
                <w:rFonts w:ascii="Calibri" w:cs="Arial" w:eastAsia="Arial" w:hAnsi="Calibri"/>
                <w:b w:val="0"/>
                <w:bCs/>
                <w:i w:val="0"/>
                <w:color w:val="000000"/>
                <w:sz w:val="22"/>
                <w:szCs w:val="17"/>
              </w:rPr>
              <w:t xml:space="preserve">25 Nov 2025</w:t>
            </w:r>
          </w:p>
        </w:tc>
        <w:tc>
          <w:tcPr>
            <w:tcW w:type="dxa" w:w="4800"/>
            <w:tcBorders>
              <w:top w:val="single" w:sz="4"/>
              <w:left w:val="single" w:sz="4"/>
              <w:bottom w:val="single" w:sz="4"/>
              <w:right w:val="single" w:sz="4"/>
            </w:tcBorders>
            <w:tcMar>
              <w:top w:type="dxa" w:w="90"/>
              <w:left w:type="dxa" w:w="120"/>
              <w:bottom w:type="dxa" w:w="90"/>
              <w:right w:type="dxa" w:w="120"/>
            </w:tcMar>
          </w:tcPr>
          <w:p>
            <w:pPr>
              <w:spacing w:after="30" w:before="60"/>
            </w:pPr>
            <w:r>
              <w:rPr>
                <w:rFonts w:ascii="Calibri" w:cs="Arial" w:eastAsia="Arial" w:hAnsi="Calibri"/>
                <w:b w:val="0"/>
                <w:bCs/>
                <w:i w:val="0"/>
                <w:color w:val="000000"/>
                <w:sz w:val="22"/>
                <w:szCs w:val="17"/>
              </w:rPr>
              <w:t xml:space="preserve">EcoCash API Integration Planning</w:t>
            </w:r>
          </w:p>
          <w:p>
            <w:pPr>
              <w:pStyle w:val="ListParagraph"/>
              <w:numPr>
                <w:ilvl w:val="0"/>
                <w:numId w:val="2"/>
              </w:numPr>
              <w:spacing w:after="40" w:before="0"/>
            </w:pPr>
            <w:r>
              <w:rPr>
                <w:rFonts w:ascii="Calibri" w:cs="Arial" w:eastAsia="Arial" w:hAnsi="Calibri"/>
                <w:b w:val="0"/>
                <w:i w:val="0"/>
                <w:color w:val="000000"/>
                <w:sz w:val="22"/>
                <w:szCs w:val="17"/>
              </w:rPr>
              <w:t xml:space="preserve">Prioritised EcoCash as primary payment partner given dominant wallet penetration across Zimbabwe's civil servant and informal sector borrower segments</w:t>
            </w:r>
          </w:p>
          <w:p>
            <w:pPr>
              <w:pStyle w:val="ListParagraph"/>
              <w:numPr>
                <w:ilvl w:val="0"/>
                <w:numId w:val="2"/>
              </w:numPr>
              <w:spacing w:after="40" w:before="0"/>
            </w:pPr>
            <w:r>
              <w:rPr>
                <w:rFonts w:ascii="Calibri" w:cs="Arial" w:eastAsia="Arial" w:hAnsi="Calibri"/>
                <w:b w:val="0"/>
                <w:i w:val="0"/>
                <w:color w:val="000000"/>
                <w:sz w:val="22"/>
                <w:szCs w:val="17"/>
              </w:rPr>
              <w:t xml:space="preserve">Mapped EcoCash API integration touchpoints: disbursement (push payment to borrower wallet), collection (standing mandate debit), webhook listener in payment-service Lambda, IMTT tax calculation (2%), and EcoCash transaction fee (~1.3%) absorption modelling</w:t>
            </w:r>
          </w:p>
          <w:p>
            <w:pPr>
              <w:pStyle w:val="ListParagraph"/>
              <w:numPr>
                <w:ilvl w:val="0"/>
                <w:numId w:val="2"/>
              </w:numPr>
              <w:spacing w:after="40" w:before="0"/>
            </w:pPr>
            <w:r>
              <w:rPr>
                <w:rFonts w:ascii="Calibri" w:cs="Arial" w:eastAsia="Arial" w:hAnsi="Calibri"/>
                <w:b w:val="0"/>
                <w:i w:val="0"/>
                <w:color w:val="000000"/>
                <w:sz w:val="22"/>
                <w:szCs w:val="17"/>
              </w:rPr>
              <w:t xml:space="preserve">Drafted payment-service Lambda webhook handler logic for EcoCash event types: payment.success, payment.failed, payment.reversed</w:t>
            </w:r>
          </w:p>
          <w:p>
            <w:pPr>
              <w:spacing w:after="30" w:before="60"/>
            </w:pPr>
            <w:r>
              <w:rPr>
                <w:rFonts w:ascii="Calibri" w:cs="Arial" w:eastAsia="Arial" w:hAnsi="Calibri"/>
                <w:b w:val="0"/>
                <w:bCs/>
                <w:i w:val="0"/>
                <w:color w:val="000000"/>
                <w:sz w:val="22"/>
                <w:szCs w:val="17"/>
              </w:rPr>
              <w:t xml:space="preserve">Financial Inclusion Analytics</w:t>
            </w:r>
          </w:p>
          <w:p>
            <w:pPr>
              <w:pStyle w:val="ListParagraph"/>
              <w:numPr>
                <w:ilvl w:val="0"/>
                <w:numId w:val="2"/>
              </w:numPr>
              <w:spacing w:after="40" w:before="0"/>
            </w:pPr>
            <w:r>
              <w:rPr>
                <w:rFonts w:ascii="Calibri" w:cs="Arial" w:eastAsia="Arial" w:hAnsi="Calibri"/>
                <w:b w:val="0"/>
                <w:i w:val="0"/>
                <w:color w:val="000000"/>
                <w:sz w:val="22"/>
                <w:szCs w:val="17"/>
              </w:rPr>
              <w:t xml:space="preserve">Analysed EcoCash market penetration data alongside POTRAZ Q3 2025 mobile subscriber statistics to quantify addressable borrower pool reachable via mobile money</w:t>
            </w:r>
          </w:p>
          <w:p>
            <w:pPr>
              <w:pStyle w:val="ListParagraph"/>
              <w:numPr>
                <w:ilvl w:val="0"/>
                <w:numId w:val="2"/>
              </w:numPr>
              <w:spacing w:after="40" w:before="0"/>
            </w:pPr>
            <w:r>
              <w:rPr>
                <w:rFonts w:ascii="Calibri" w:cs="Arial" w:eastAsia="Arial" w:hAnsi="Calibri"/>
                <w:b w:val="0"/>
                <w:i w:val="0"/>
                <w:color w:val="000000"/>
                <w:sz w:val="22"/>
                <w:szCs w:val="17"/>
              </w:rPr>
              <w:t xml:space="preserve">Reviewed Zimbabwe IMTT (Intermediated Money Transfer Tax) regulatory framework and modelled tax incidence across disbursement and repayment legs</w:t>
            </w:r>
          </w:p>
        </w:tc>
        <w:tc>
          <w:tcPr>
            <w:tcW w:type="dxa" w:w="3026"/>
            <w:tcBorders>
              <w:top w:val="single" w:sz="4"/>
              <w:left w:val="single" w:sz="4"/>
              <w:bottom w:val="single" w:sz="4"/>
              <w:right w:val="single" w:sz="4"/>
            </w:tcBorders>
            <w:tcMar>
              <w:top w:type="dxa" w:w="90"/>
              <w:left w:type="dxa" w:w="120"/>
              <w:bottom w:type="dxa" w:w="90"/>
              <w:right w:type="dxa" w:w="120"/>
            </w:tcMar>
          </w:tcPr>
          <w:p>
            <w:pPr>
              <w:pStyle w:val="ListParagraph"/>
              <w:numPr>
                <w:ilvl w:val="0"/>
                <w:numId w:val="2"/>
              </w:numPr>
              <w:spacing w:after="40" w:before="0"/>
            </w:pPr>
            <w:r>
              <w:rPr>
                <w:rFonts w:ascii="Calibri" w:cs="Arial" w:eastAsia="Arial" w:hAnsi="Calibri"/>
                <w:b w:val="0"/>
                <w:i w:val="0"/>
                <w:color w:val="000000"/>
                <w:sz w:val="22"/>
                <w:szCs w:val="17"/>
              </w:rPr>
              <w:t xml:space="preserve">Mobile money API integration patterns (push/pull payment flows)</w:t>
            </w:r>
          </w:p>
          <w:p>
            <w:pPr>
              <w:pStyle w:val="ListParagraph"/>
              <w:numPr>
                <w:ilvl w:val="0"/>
                <w:numId w:val="2"/>
              </w:numPr>
              <w:spacing w:after="40" w:before="0"/>
            </w:pPr>
            <w:r>
              <w:rPr>
                <w:rFonts w:ascii="Calibri" w:cs="Arial" w:eastAsia="Arial" w:hAnsi="Calibri"/>
                <w:b w:val="0"/>
                <w:i w:val="0"/>
                <w:color w:val="000000"/>
                <w:sz w:val="22"/>
                <w:szCs w:val="17"/>
              </w:rPr>
              <w:t xml:space="preserve">Tax compliance modelling in fintech payment systems</w:t>
            </w:r>
          </w:p>
          <w:p>
            <w:pPr>
              <w:pStyle w:val="ListParagraph"/>
              <w:numPr>
                <w:ilvl w:val="0"/>
                <w:numId w:val="2"/>
              </w:numPr>
              <w:spacing w:after="40" w:before="0"/>
            </w:pPr>
            <w:r>
              <w:rPr>
                <w:rFonts w:ascii="Calibri" w:cs="Arial" w:eastAsia="Arial" w:hAnsi="Calibri"/>
                <w:b w:val="0"/>
                <w:i w:val="0"/>
                <w:color w:val="000000"/>
                <w:sz w:val="22"/>
                <w:szCs w:val="17"/>
              </w:rPr>
              <w:t xml:space="preserve">Regulatory analytics: POTRAZ data interpretation for market sizing</w:t>
            </w:r>
          </w:p>
        </w:tc>
      </w:tr>
      <w:tr>
        <w:tc>
          <w:tcPr>
            <w:tcW w:type="dxa" w:w="1200"/>
            <w:tcBorders>
              <w:top w:val="single" w:sz="4"/>
              <w:left w:val="single" w:sz="4"/>
              <w:bottom w:val="single" w:sz="4"/>
              <w:right w:val="single" w:sz="4"/>
            </w:tcBorders>
            <w:tcMar>
              <w:top w:type="dxa" w:w="90"/>
              <w:left w:type="dxa" w:w="120"/>
              <w:bottom w:type="dxa" w:w="90"/>
              <w:right w:type="dxa" w:w="120"/>
            </w:tcMar>
            <w:vAlign w:val="center"/>
          </w:tcPr>
          <w:p>
            <w:pPr>
              <w:jc w:val="center"/>
            </w:pPr>
            <w:r>
              <w:rPr>
                <w:rFonts w:ascii="Calibri" w:cs="Arial" w:eastAsia="Arial" w:hAnsi="Calibri"/>
                <w:b w:val="0"/>
                <w:bCs/>
                <w:i w:val="0"/>
                <w:color w:val="000000"/>
                <w:sz w:val="22"/>
                <w:szCs w:val="17"/>
              </w:rPr>
              <w:t xml:space="preserve">2 Dec 2025</w:t>
            </w:r>
          </w:p>
        </w:tc>
        <w:tc>
          <w:tcPr>
            <w:tcW w:type="dxa" w:w="4800"/>
            <w:tcBorders>
              <w:top w:val="single" w:sz="4"/>
              <w:left w:val="single" w:sz="4"/>
              <w:bottom w:val="single" w:sz="4"/>
              <w:right w:val="single" w:sz="4"/>
            </w:tcBorders>
            <w:tcMar>
              <w:top w:type="dxa" w:w="90"/>
              <w:left w:type="dxa" w:w="120"/>
              <w:bottom w:type="dxa" w:w="90"/>
              <w:right w:type="dxa" w:w="120"/>
            </w:tcMar>
          </w:tcPr>
          <w:p>
            <w:pPr>
              <w:spacing w:after="30" w:before="60"/>
            </w:pPr>
            <w:r>
              <w:rPr>
                <w:rFonts w:ascii="Calibri" w:cs="Arial" w:eastAsia="Arial" w:hAnsi="Calibri"/>
                <w:b w:val="0"/>
                <w:bCs/>
                <w:i w:val="0"/>
                <w:color w:val="000000"/>
                <w:sz w:val="22"/>
                <w:szCs w:val="17"/>
              </w:rPr>
              <w:t xml:space="preserve">GitHub Workflow Automation</w:t>
            </w:r>
          </w:p>
          <w:p>
            <w:pPr>
              <w:pStyle w:val="ListParagraph"/>
              <w:numPr>
                <w:ilvl w:val="0"/>
                <w:numId w:val="2"/>
              </w:numPr>
              <w:spacing w:after="40" w:before="0"/>
            </w:pPr>
            <w:r>
              <w:rPr>
                <w:rFonts w:ascii="Calibri" w:cs="Arial" w:eastAsia="Arial" w:hAnsi="Calibri"/>
                <w:b w:val="0"/>
                <w:i w:val="0"/>
                <w:color w:val="000000"/>
                <w:sz w:val="22"/>
                <w:szCs w:val="17"/>
              </w:rPr>
              <w:t xml:space="preserve">Configured GitHub Actions CI/CD pipelines for backend Lambda microservice deployment and Next.js frontend deployment to AWS S3 + CloudFront</w:t>
            </w:r>
          </w:p>
          <w:p>
            <w:pPr>
              <w:pStyle w:val="ListParagraph"/>
              <w:numPr>
                <w:ilvl w:val="0"/>
                <w:numId w:val="2"/>
              </w:numPr>
              <w:spacing w:after="40" w:before="0"/>
            </w:pPr>
            <w:r>
              <w:rPr>
                <w:rFonts w:ascii="Calibri" w:cs="Arial" w:eastAsia="Arial" w:hAnsi="Calibri"/>
                <w:b w:val="0"/>
                <w:i w:val="0"/>
                <w:color w:val="000000"/>
                <w:sz w:val="22"/>
                <w:szCs w:val="17"/>
              </w:rPr>
              <w:t xml:space="preserve">Implemented automated progress report commit workflow enabling supervisor visibility into weekly development milestones via structured commit messages</w:t>
            </w:r>
          </w:p>
          <w:p>
            <w:pPr>
              <w:pStyle w:val="ListParagraph"/>
              <w:numPr>
                <w:ilvl w:val="0"/>
                <w:numId w:val="2"/>
              </w:numPr>
              <w:spacing w:after="40" w:before="0"/>
            </w:pPr>
            <w:r>
              <w:rPr>
                <w:rFonts w:ascii="Calibri" w:cs="Arial" w:eastAsia="Arial" w:hAnsi="Calibri"/>
                <w:b w:val="0"/>
                <w:i w:val="0"/>
                <w:color w:val="000000"/>
                <w:sz w:val="22"/>
                <w:szCs w:val="17"/>
              </w:rPr>
              <w:t xml:space="preserve">Resolved Git Bash PATH configuration error in Claude Code on Windows with Git installed on an external drive; documented drive-letter stability risk and recommended mounting with a fixed drive letter via Windows Disk Management</w:t>
            </w:r>
          </w:p>
          <w:p>
            <w:pPr>
              <w:spacing w:after="30" w:before="60"/>
            </w:pPr>
            <w:r>
              <w:rPr>
                <w:rFonts w:ascii="Calibri" w:cs="Arial" w:eastAsia="Arial" w:hAnsi="Calibri"/>
                <w:b w:val="0"/>
                <w:bCs/>
                <w:i w:val="0"/>
                <w:color w:val="000000"/>
                <w:sz w:val="22"/>
                <w:szCs w:val="17"/>
              </w:rPr>
              <w:t xml:space="preserve">Infrastructure Analytics</w:t>
            </w:r>
          </w:p>
          <w:p>
            <w:pPr>
              <w:pStyle w:val="ListParagraph"/>
              <w:numPr>
                <w:ilvl w:val="0"/>
                <w:numId w:val="2"/>
              </w:numPr>
              <w:spacing w:after="40" w:before="0"/>
            </w:pPr>
            <w:r>
              <w:rPr>
                <w:rFonts w:ascii="Calibri" w:cs="Arial" w:eastAsia="Arial" w:hAnsi="Calibri"/>
                <w:b w:val="0"/>
                <w:i w:val="0"/>
                <w:color w:val="000000"/>
                <w:sz w:val="22"/>
                <w:szCs w:val="17"/>
              </w:rPr>
              <w:t xml:space="preserve">Reviewed AWS CloudWatch metrics and X-Ray tracing configurations across the six Lambda microservices to identify latency bottlenecks and error rate patterns</w:t>
            </w:r>
          </w:p>
        </w:tc>
        <w:tc>
          <w:tcPr>
            <w:tcW w:type="dxa" w:w="3026"/>
            <w:tcBorders>
              <w:top w:val="single" w:sz="4"/>
              <w:left w:val="single" w:sz="4"/>
              <w:bottom w:val="single" w:sz="4"/>
              <w:right w:val="single" w:sz="4"/>
            </w:tcBorders>
            <w:tcMar>
              <w:top w:type="dxa" w:w="90"/>
              <w:left w:type="dxa" w:w="120"/>
              <w:bottom w:type="dxa" w:w="90"/>
              <w:right w:type="dxa" w:w="120"/>
            </w:tcMar>
          </w:tcPr>
          <w:p>
            <w:pPr>
              <w:pStyle w:val="ListParagraph"/>
              <w:numPr>
                <w:ilvl w:val="0"/>
                <w:numId w:val="2"/>
              </w:numPr>
              <w:spacing w:after="40" w:before="0"/>
            </w:pPr>
            <w:r>
              <w:rPr>
                <w:rFonts w:ascii="Calibri" w:cs="Arial" w:eastAsia="Arial" w:hAnsi="Calibri"/>
                <w:b w:val="0"/>
                <w:i w:val="0"/>
                <w:color w:val="000000"/>
                <w:sz w:val="22"/>
                <w:szCs w:val="17"/>
              </w:rPr>
              <w:t xml:space="preserve">CI/CD pipeline design and automation (GitHub Actions, AWS deployments)</w:t>
            </w:r>
          </w:p>
          <w:p>
            <w:pPr>
              <w:pStyle w:val="ListParagraph"/>
              <w:numPr>
                <w:ilvl w:val="0"/>
                <w:numId w:val="2"/>
              </w:numPr>
              <w:spacing w:after="40" w:before="0"/>
            </w:pPr>
            <w:r>
              <w:rPr>
                <w:rFonts w:ascii="Calibri" w:cs="Arial" w:eastAsia="Arial" w:hAnsi="Calibri"/>
                <w:b w:val="0"/>
                <w:i w:val="0"/>
                <w:color w:val="000000"/>
                <w:sz w:val="22"/>
                <w:szCs w:val="17"/>
              </w:rPr>
              <w:t xml:space="preserve">Development environment configuration and cross-platform tooling</w:t>
            </w:r>
          </w:p>
          <w:p>
            <w:pPr>
              <w:pStyle w:val="ListParagraph"/>
              <w:numPr>
                <w:ilvl w:val="0"/>
                <w:numId w:val="2"/>
              </w:numPr>
              <w:spacing w:after="40" w:before="0"/>
            </w:pPr>
            <w:r>
              <w:rPr>
                <w:rFonts w:ascii="Calibri" w:cs="Arial" w:eastAsia="Arial" w:hAnsi="Calibri"/>
                <w:b w:val="0"/>
                <w:i w:val="0"/>
                <w:color w:val="000000"/>
                <w:sz w:val="22"/>
                <w:szCs w:val="17"/>
              </w:rPr>
              <w:t xml:space="preserve">Observability and monitoring design for distributed microservice systems</w:t>
            </w:r>
          </w:p>
        </w:tc>
      </w:tr>
      <w:tr>
        <w:tc>
          <w:tcPr>
            <w:tcW w:type="dxa" w:w="1200"/>
            <w:tcBorders>
              <w:top w:val="single" w:sz="4"/>
              <w:left w:val="single" w:sz="4"/>
              <w:bottom w:val="single" w:sz="4"/>
              <w:right w:val="single" w:sz="4"/>
            </w:tcBorders>
            <w:tcMar>
              <w:top w:type="dxa" w:w="90"/>
              <w:left w:type="dxa" w:w="120"/>
              <w:bottom w:type="dxa" w:w="90"/>
              <w:right w:type="dxa" w:w="120"/>
            </w:tcMar>
            <w:vAlign w:val="center"/>
          </w:tcPr>
          <w:p>
            <w:pPr>
              <w:jc w:val="center"/>
            </w:pPr>
            <w:r>
              <w:rPr>
                <w:rFonts w:ascii="Calibri" w:cs="Arial" w:eastAsia="Arial" w:hAnsi="Calibri"/>
                <w:b w:val="0"/>
                <w:bCs/>
                <w:i w:val="0"/>
                <w:color w:val="000000"/>
                <w:sz w:val="22"/>
                <w:szCs w:val="17"/>
              </w:rPr>
              <w:t xml:space="preserve">9 Dec 2025</w:t>
            </w:r>
          </w:p>
        </w:tc>
        <w:tc>
          <w:tcPr>
            <w:tcW w:type="dxa" w:w="4800"/>
            <w:tcBorders>
              <w:top w:val="single" w:sz="4"/>
              <w:left w:val="single" w:sz="4"/>
              <w:bottom w:val="single" w:sz="4"/>
              <w:right w:val="single" w:sz="4"/>
            </w:tcBorders>
            <w:tcMar>
              <w:top w:type="dxa" w:w="90"/>
              <w:left w:type="dxa" w:w="120"/>
              <w:bottom w:type="dxa" w:w="90"/>
              <w:right w:type="dxa" w:w="120"/>
            </w:tcMar>
          </w:tcPr>
          <w:p>
            <w:pPr>
              <w:spacing w:after="30" w:before="60"/>
            </w:pPr>
            <w:r>
              <w:rPr>
                <w:rFonts w:ascii="Calibri" w:cs="Arial" w:eastAsia="Arial" w:hAnsi="Calibri"/>
                <w:b w:val="0"/>
                <w:bCs/>
                <w:i w:val="0"/>
                <w:color w:val="000000"/>
                <w:sz w:val="22"/>
                <w:szCs w:val="17"/>
              </w:rPr>
              <w:t xml:space="preserve">Investor Data Room Preparation — Phase I</w:t>
            </w:r>
          </w:p>
          <w:p>
            <w:pPr>
              <w:pStyle w:val="ListParagraph"/>
              <w:numPr>
                <w:ilvl w:val="0"/>
                <w:numId w:val="2"/>
              </w:numPr>
              <w:spacing w:after="40" w:before="0"/>
            </w:pPr>
            <w:r>
              <w:rPr>
                <w:rFonts w:ascii="Calibri" w:cs="Arial" w:eastAsia="Arial" w:hAnsi="Calibri"/>
                <w:b w:val="0"/>
                <w:i w:val="0"/>
                <w:color w:val="000000"/>
                <w:sz w:val="22"/>
                <w:szCs w:val="17"/>
              </w:rPr>
              <w:t xml:space="preserve">Initiated preparation of a comprehensive investor data room for Lynia Finance's first VC engagement, covering pitch deck, financial model, cap table, and supporting materials</w:t>
            </w:r>
          </w:p>
          <w:p>
            <w:pPr>
              <w:pStyle w:val="ListParagraph"/>
              <w:numPr>
                <w:ilvl w:val="0"/>
                <w:numId w:val="2"/>
              </w:numPr>
              <w:spacing w:after="40" w:before="0"/>
            </w:pPr>
            <w:r>
              <w:rPr>
                <w:rFonts w:ascii="Calibri" w:cs="Arial" w:eastAsia="Arial" w:hAnsi="Calibri"/>
                <w:b w:val="0"/>
                <w:i w:val="0"/>
                <w:color w:val="000000"/>
                <w:sz w:val="22"/>
                <w:szCs w:val="17"/>
              </w:rPr>
              <w:t xml:space="preserve">Designed a 13-slide pitch deck structure covering: problem statement, solution overview, product walkthrough, market opportunity (TAM/SAM/SOM), business model and unit economics, technology stack, traction, competitive landscape, team, financial projections, the ask, and contact slide</w:t>
            </w:r>
          </w:p>
          <w:p>
            <w:pPr>
              <w:pStyle w:val="ListParagraph"/>
              <w:numPr>
                <w:ilvl w:val="0"/>
                <w:numId w:val="2"/>
              </w:numPr>
              <w:spacing w:after="40" w:before="0"/>
            </w:pPr>
            <w:r>
              <w:rPr>
                <w:rFonts w:ascii="Calibri" w:cs="Arial" w:eastAsia="Arial" w:hAnsi="Calibri"/>
                <w:b w:val="0"/>
                <w:i w:val="0"/>
                <w:color w:val="000000"/>
                <w:sz w:val="22"/>
                <w:szCs w:val="17"/>
              </w:rPr>
              <w:t xml:space="preserve">Adopted deep teal fintech color palette aligned with Lynia brand identity; structured slides for an African-focused VC audience familiar with mobile-money-first product architectures</w:t>
            </w:r>
          </w:p>
          <w:p>
            <w:pPr>
              <w:spacing w:after="30" w:before="60"/>
            </w:pPr>
            <w:r>
              <w:rPr>
                <w:rFonts w:ascii="Calibri" w:cs="Arial" w:eastAsia="Arial" w:hAnsi="Calibri"/>
                <w:b w:val="0"/>
                <w:bCs/>
                <w:i w:val="0"/>
                <w:color w:val="000000"/>
                <w:sz w:val="22"/>
                <w:szCs w:val="17"/>
              </w:rPr>
              <w:t xml:space="preserve">Financial Modelling Initiation</w:t>
            </w:r>
          </w:p>
          <w:p>
            <w:pPr>
              <w:pStyle w:val="ListParagraph"/>
              <w:numPr>
                <w:ilvl w:val="0"/>
                <w:numId w:val="2"/>
              </w:numPr>
              <w:spacing w:after="40" w:before="0"/>
            </w:pPr>
            <w:r>
              <w:rPr>
                <w:rFonts w:ascii="Calibri" w:cs="Arial" w:eastAsia="Arial" w:hAnsi="Calibri"/>
                <w:b w:val="0"/>
                <w:i w:val="0"/>
                <w:color w:val="000000"/>
                <w:sz w:val="22"/>
                <w:szCs w:val="17"/>
              </w:rPr>
              <w:t xml:space="preserve">Built foundational Assumptions and Unit Economics sheets in Excel for the investor financial model, with color-coded input cells and cross-sheet formula linkages</w:t>
            </w:r>
          </w:p>
          <w:p>
            <w:pPr>
              <w:pStyle w:val="ListParagraph"/>
              <w:numPr>
                <w:ilvl w:val="0"/>
                <w:numId w:val="2"/>
              </w:numPr>
              <w:spacing w:after="40" w:before="0"/>
            </w:pPr>
            <w:r>
              <w:rPr>
                <w:rFonts w:ascii="Calibri" w:cs="Arial" w:eastAsia="Arial" w:hAnsi="Calibri"/>
                <w:b w:val="0"/>
                <w:i w:val="0"/>
                <w:color w:val="000000"/>
                <w:sz w:val="22"/>
                <w:szCs w:val="17"/>
              </w:rPr>
              <w:t xml:space="preserve">Initiated cap table modelling covering pre- and post-investment ownership structure</w:t>
            </w:r>
          </w:p>
        </w:tc>
        <w:tc>
          <w:tcPr>
            <w:tcW w:type="dxa" w:w="3026"/>
            <w:tcBorders>
              <w:top w:val="single" w:sz="4"/>
              <w:left w:val="single" w:sz="4"/>
              <w:bottom w:val="single" w:sz="4"/>
              <w:right w:val="single" w:sz="4"/>
            </w:tcBorders>
            <w:tcMar>
              <w:top w:type="dxa" w:w="90"/>
              <w:left w:type="dxa" w:w="120"/>
              <w:bottom w:type="dxa" w:w="90"/>
              <w:right w:type="dxa" w:w="120"/>
            </w:tcMar>
          </w:tcPr>
          <w:p>
            <w:pPr>
              <w:pStyle w:val="ListParagraph"/>
              <w:numPr>
                <w:ilvl w:val="0"/>
                <w:numId w:val="2"/>
              </w:numPr>
              <w:spacing w:after="40" w:before="0"/>
            </w:pPr>
            <w:r>
              <w:rPr>
                <w:rFonts w:ascii="Calibri" w:cs="Arial" w:eastAsia="Arial" w:hAnsi="Calibri"/>
                <w:b w:val="0"/>
                <w:i w:val="0"/>
                <w:color w:val="000000"/>
                <w:sz w:val="22"/>
                <w:szCs w:val="17"/>
              </w:rPr>
              <w:t xml:space="preserve">Investor communications and VC pitch narrative design</w:t>
            </w:r>
          </w:p>
          <w:p>
            <w:pPr>
              <w:pStyle w:val="ListParagraph"/>
              <w:numPr>
                <w:ilvl w:val="0"/>
                <w:numId w:val="2"/>
              </w:numPr>
              <w:spacing w:after="40" w:before="0"/>
            </w:pPr>
            <w:r>
              <w:rPr>
                <w:rFonts w:ascii="Calibri" w:cs="Arial" w:eastAsia="Arial" w:hAnsi="Calibri"/>
                <w:b w:val="0"/>
                <w:i w:val="0"/>
                <w:color w:val="000000"/>
                <w:sz w:val="22"/>
                <w:szCs w:val="17"/>
              </w:rPr>
              <w:t xml:space="preserve">Financial modelling best practices (color-coded inputs, formula auditability)</w:t>
            </w:r>
          </w:p>
          <w:p>
            <w:pPr>
              <w:pStyle w:val="ListParagraph"/>
              <w:numPr>
                <w:ilvl w:val="0"/>
                <w:numId w:val="2"/>
              </w:numPr>
              <w:spacing w:after="40" w:before="0"/>
            </w:pPr>
            <w:r>
              <w:rPr>
                <w:rFonts w:ascii="Calibri" w:cs="Arial" w:eastAsia="Arial" w:hAnsi="Calibri"/>
                <w:b w:val="0"/>
                <w:i w:val="0"/>
                <w:color w:val="000000"/>
                <w:sz w:val="22"/>
                <w:szCs w:val="17"/>
              </w:rPr>
              <w:t xml:space="preserve">Startup equity structure and cap table fundamentals</w:t>
            </w:r>
          </w:p>
        </w:tc>
      </w:tr>
      <w:tr>
        <w:tc>
          <w:tcPr>
            <w:tcW w:type="dxa" w:w="1200"/>
            <w:tcBorders>
              <w:top w:val="single" w:sz="4"/>
              <w:left w:val="single" w:sz="4"/>
              <w:bottom w:val="single" w:sz="4"/>
              <w:right w:val="single" w:sz="4"/>
            </w:tcBorders>
            <w:tcMar>
              <w:top w:type="dxa" w:w="90"/>
              <w:left w:type="dxa" w:w="120"/>
              <w:bottom w:type="dxa" w:w="90"/>
              <w:right w:type="dxa" w:w="120"/>
            </w:tcMar>
            <w:vAlign w:val="center"/>
          </w:tcPr>
          <w:p>
            <w:pPr>
              <w:jc w:val="center"/>
            </w:pPr>
            <w:r>
              <w:rPr>
                <w:rFonts w:ascii="Calibri" w:cs="Arial" w:eastAsia="Arial" w:hAnsi="Calibri"/>
                <w:b w:val="0"/>
                <w:bCs/>
                <w:i w:val="0"/>
                <w:color w:val="000000"/>
                <w:sz w:val="22"/>
                <w:szCs w:val="17"/>
              </w:rPr>
              <w:t xml:space="preserve">16 Dec 2025</w:t>
            </w:r>
          </w:p>
        </w:tc>
        <w:tc>
          <w:tcPr>
            <w:tcW w:type="dxa" w:w="4800"/>
            <w:tcBorders>
              <w:top w:val="single" w:sz="4"/>
              <w:left w:val="single" w:sz="4"/>
              <w:bottom w:val="single" w:sz="4"/>
              <w:right w:val="single" w:sz="4"/>
            </w:tcBorders>
            <w:tcMar>
              <w:top w:type="dxa" w:w="90"/>
              <w:left w:type="dxa" w:w="120"/>
              <w:bottom w:type="dxa" w:w="90"/>
              <w:right w:type="dxa" w:w="120"/>
            </w:tcMar>
          </w:tcPr>
          <w:p>
            <w:pPr>
              <w:spacing w:after="30" w:before="60"/>
            </w:pPr>
            <w:r>
              <w:rPr>
                <w:rFonts w:ascii="Calibri" w:cs="Arial" w:eastAsia="Arial" w:hAnsi="Calibri"/>
                <w:b w:val="0"/>
                <w:bCs/>
                <w:i w:val="0"/>
                <w:color w:val="000000"/>
                <w:sz w:val="22"/>
                <w:szCs w:val="17"/>
              </w:rPr>
              <w:t xml:space="preserve">Investor Pitch Deck &amp; Financial Model Completion</w:t>
            </w:r>
          </w:p>
          <w:p>
            <w:pPr>
              <w:pStyle w:val="ListParagraph"/>
              <w:numPr>
                <w:ilvl w:val="0"/>
                <w:numId w:val="2"/>
              </w:numPr>
              <w:spacing w:after="40" w:before="0"/>
            </w:pPr>
            <w:r>
              <w:rPr>
                <w:rFonts w:ascii="Calibri" w:cs="Arial" w:eastAsia="Arial" w:hAnsi="Calibri"/>
                <w:b w:val="0"/>
                <w:i w:val="0"/>
                <w:color w:val="000000"/>
                <w:sz w:val="22"/>
                <w:szCs w:val="17"/>
              </w:rPr>
              <w:t xml:space="preserve">Completed the Lynia Finance pitch deck (Lynia_Finance_Pitch_Deck.pptx) using pptxgenjs: 13 slides with placeholder-flagged fields for actual traction metrics, team bios, and fundraising target</w:t>
            </w:r>
          </w:p>
          <w:p>
            <w:pPr>
              <w:pStyle w:val="ListParagraph"/>
              <w:numPr>
                <w:ilvl w:val="0"/>
                <w:numId w:val="2"/>
              </w:numPr>
              <w:spacing w:after="40" w:before="0"/>
            </w:pPr>
            <w:r>
              <w:rPr>
                <w:rFonts w:ascii="Calibri" w:cs="Arial" w:eastAsia="Arial" w:hAnsi="Calibri"/>
                <w:b w:val="0"/>
                <w:i w:val="0"/>
                <w:color w:val="000000"/>
                <w:sz w:val="22"/>
                <w:szCs w:val="17"/>
              </w:rPr>
              <w:t xml:space="preserve">Delivered a multi-sheet investor financial model (Lynia_Finance_Financial_Model.xlsx) containing Assumptions, Unit Economics, 5-Year Revenue Projections, Use of Funds, and Cap Table tabs — all 86 formulas validated successfully</w:t>
            </w:r>
          </w:p>
          <w:p>
            <w:pPr>
              <w:pStyle w:val="ListParagraph"/>
              <w:numPr>
                <w:ilvl w:val="0"/>
                <w:numId w:val="2"/>
              </w:numPr>
              <w:spacing w:after="40" w:before="0"/>
            </w:pPr>
            <w:r>
              <w:rPr>
                <w:rFonts w:ascii="Calibri" w:cs="Arial" w:eastAsia="Arial" w:hAnsi="Calibri"/>
                <w:b w:val="0"/>
                <w:i w:val="0"/>
                <w:color w:val="000000"/>
                <w:sz w:val="22"/>
                <w:szCs w:val="17"/>
              </w:rPr>
              <w:t xml:space="preserve">Produced a data room folder structure document across nine categories: executive summary, financials, legal/corporate, product/technology, market analysis, partnerships, team, traction, and due diligence extras</w:t>
            </w:r>
          </w:p>
          <w:p>
            <w:pPr>
              <w:spacing w:after="30" w:before="60"/>
            </w:pPr>
            <w:r>
              <w:rPr>
                <w:rFonts w:ascii="Calibri" w:cs="Arial" w:eastAsia="Arial" w:hAnsi="Calibri"/>
                <w:b w:val="0"/>
                <w:bCs/>
                <w:i w:val="0"/>
                <w:color w:val="000000"/>
                <w:sz w:val="22"/>
                <w:szCs w:val="17"/>
              </w:rPr>
              <w:t xml:space="preserve">Business Intelligence</w:t>
            </w:r>
          </w:p>
          <w:p>
            <w:pPr>
              <w:pStyle w:val="ListParagraph"/>
              <w:numPr>
                <w:ilvl w:val="0"/>
                <w:numId w:val="2"/>
              </w:numPr>
              <w:spacing w:after="40" w:before="0"/>
            </w:pPr>
            <w:r>
              <w:rPr>
                <w:rFonts w:ascii="Calibri" w:cs="Arial" w:eastAsia="Arial" w:hAnsi="Calibri"/>
                <w:b w:val="0"/>
                <w:i w:val="0"/>
                <w:color w:val="000000"/>
                <w:sz w:val="22"/>
                <w:szCs w:val="17"/>
              </w:rPr>
              <w:t xml:space="preserve">Conducted competitive landscape analysis positioning Lynia against Kashagi (EcoCash/Steward Bank), ZimLoan, and InnBucks MicroBank; documented differentiation on product structure, channel, and target segment</w:t>
            </w:r>
          </w:p>
        </w:tc>
        <w:tc>
          <w:tcPr>
            <w:tcW w:type="dxa" w:w="3026"/>
            <w:tcBorders>
              <w:top w:val="single" w:sz="4"/>
              <w:left w:val="single" w:sz="4"/>
              <w:bottom w:val="single" w:sz="4"/>
              <w:right w:val="single" w:sz="4"/>
            </w:tcBorders>
            <w:tcMar>
              <w:top w:type="dxa" w:w="90"/>
              <w:left w:type="dxa" w:w="120"/>
              <w:bottom w:type="dxa" w:w="90"/>
              <w:right w:type="dxa" w:w="120"/>
            </w:tcMar>
          </w:tcPr>
          <w:p>
            <w:pPr>
              <w:pStyle w:val="ListParagraph"/>
              <w:numPr>
                <w:ilvl w:val="0"/>
                <w:numId w:val="2"/>
              </w:numPr>
              <w:spacing w:after="40" w:before="0"/>
            </w:pPr>
            <w:r>
              <w:rPr>
                <w:rFonts w:ascii="Calibri" w:cs="Arial" w:eastAsia="Arial" w:hAnsi="Calibri"/>
                <w:b w:val="0"/>
                <w:i w:val="0"/>
                <w:color w:val="000000"/>
                <w:sz w:val="22"/>
                <w:szCs w:val="17"/>
              </w:rPr>
              <w:t xml:space="preserve">Professional presentation design for startup fundraising contexts</w:t>
            </w:r>
          </w:p>
          <w:p>
            <w:pPr>
              <w:pStyle w:val="ListParagraph"/>
              <w:numPr>
                <w:ilvl w:val="0"/>
                <w:numId w:val="2"/>
              </w:numPr>
              <w:spacing w:after="40" w:before="0"/>
            </w:pPr>
            <w:r>
              <w:rPr>
                <w:rFonts w:ascii="Calibri" w:cs="Arial" w:eastAsia="Arial" w:hAnsi="Calibri"/>
                <w:b w:val="0"/>
                <w:i w:val="0"/>
                <w:color w:val="000000"/>
                <w:sz w:val="22"/>
                <w:szCs w:val="17"/>
              </w:rPr>
              <w:t xml:space="preserve">Multi-sheet financial model construction with formula integrity validation</w:t>
            </w:r>
          </w:p>
          <w:p>
            <w:pPr>
              <w:pStyle w:val="ListParagraph"/>
              <w:numPr>
                <w:ilvl w:val="0"/>
                <w:numId w:val="2"/>
              </w:numPr>
              <w:spacing w:after="40" w:before="0"/>
            </w:pPr>
            <w:r>
              <w:rPr>
                <w:rFonts w:ascii="Calibri" w:cs="Arial" w:eastAsia="Arial" w:hAnsi="Calibri"/>
                <w:b w:val="0"/>
                <w:i w:val="0"/>
                <w:color w:val="000000"/>
                <w:sz w:val="22"/>
                <w:szCs w:val="17"/>
              </w:rPr>
              <w:t xml:space="preserve">Competitive intelligence frameworks for African fintech markets</w:t>
            </w:r>
          </w:p>
        </w:tc>
      </w:tr>
      <w:tr>
        <w:tc>
          <w:tcPr>
            <w:tcW w:type="dxa" w:w="1200"/>
            <w:tcBorders>
              <w:top w:val="single" w:sz="4"/>
              <w:left w:val="single" w:sz="4"/>
              <w:bottom w:val="single" w:sz="4"/>
              <w:right w:val="single" w:sz="4"/>
            </w:tcBorders>
            <w:tcMar>
              <w:top w:type="dxa" w:w="90"/>
              <w:left w:type="dxa" w:w="120"/>
              <w:bottom w:type="dxa" w:w="90"/>
              <w:right w:type="dxa" w:w="120"/>
            </w:tcMar>
            <w:vAlign w:val="center"/>
          </w:tcPr>
          <w:p>
            <w:pPr>
              <w:jc w:val="center"/>
            </w:pPr>
            <w:r>
              <w:rPr>
                <w:rFonts w:ascii="Calibri" w:cs="Arial" w:eastAsia="Arial" w:hAnsi="Calibri"/>
                <w:b w:val="0"/>
                <w:bCs/>
                <w:i w:val="0"/>
                <w:color w:val="000000"/>
                <w:sz w:val="22"/>
                <w:szCs w:val="17"/>
              </w:rPr>
              <w:t xml:space="preserve">6 Jan 2026</w:t>
            </w:r>
          </w:p>
        </w:tc>
        <w:tc>
          <w:tcPr>
            <w:tcW w:type="dxa" w:w="4800"/>
            <w:tcBorders>
              <w:top w:val="single" w:sz="4"/>
              <w:left w:val="single" w:sz="4"/>
              <w:bottom w:val="single" w:sz="4"/>
              <w:right w:val="single" w:sz="4"/>
            </w:tcBorders>
            <w:tcMar>
              <w:top w:type="dxa" w:w="90"/>
              <w:left w:type="dxa" w:w="120"/>
              <w:bottom w:type="dxa" w:w="90"/>
              <w:right w:type="dxa" w:w="120"/>
            </w:tcMar>
          </w:tcPr>
          <w:p>
            <w:pPr>
              <w:spacing w:after="30" w:before="60"/>
            </w:pPr>
            <w:r>
              <w:rPr>
                <w:rFonts w:ascii="Calibri" w:cs="Arial" w:eastAsia="Arial" w:hAnsi="Calibri"/>
                <w:b w:val="0"/>
                <w:bCs/>
                <w:i w:val="0"/>
                <w:color w:val="000000"/>
                <w:sz w:val="22"/>
                <w:szCs w:val="17"/>
              </w:rPr>
              <w:t xml:space="preserve">Zimbabwe Smartphone Market Sizing — TAM/SAM/SOM Model</w:t>
            </w:r>
          </w:p>
          <w:p>
            <w:pPr>
              <w:pStyle w:val="ListParagraph"/>
              <w:numPr>
                <w:ilvl w:val="0"/>
                <w:numId w:val="2"/>
              </w:numPr>
              <w:spacing w:after="40" w:before="0"/>
            </w:pPr>
            <w:r>
              <w:rPr>
                <w:rFonts w:ascii="Calibri" w:cs="Arial" w:eastAsia="Arial" w:hAnsi="Calibri"/>
                <w:b w:val="0"/>
                <w:i w:val="0"/>
                <w:color w:val="000000"/>
                <w:sz w:val="22"/>
                <w:szCs w:val="17"/>
              </w:rPr>
              <w:t xml:space="preserve">Constructed an investor-grade 11-sheet Excel TAM/SAM/SOM market sizing model for Zimbabwe's smartphone device financing opportunity</w:t>
            </w:r>
          </w:p>
          <w:p>
            <w:pPr>
              <w:pStyle w:val="ListParagraph"/>
              <w:numPr>
                <w:ilvl w:val="0"/>
                <w:numId w:val="2"/>
              </w:numPr>
              <w:spacing w:after="40" w:before="0"/>
            </w:pPr>
            <w:r>
              <w:rPr>
                <w:rFonts w:ascii="Calibri" w:cs="Arial" w:eastAsia="Arial" w:hAnsi="Calibri"/>
                <w:b w:val="0"/>
                <w:i w:val="0"/>
                <w:color w:val="000000"/>
                <w:sz w:val="22"/>
                <w:szCs w:val="17"/>
              </w:rPr>
              <w:t xml:space="preserve">Anchored TAM to official data sources exclusively: POTRAZ 55% smartphone penetration rate, ZIMSTAT population demographics, RBZ monetary policy data, and UN Comtrade HS 8517 import statistics — explicitly excluding non-official sources (Statista, Canalys) per investor requirement</w:t>
            </w:r>
          </w:p>
          <w:p>
            <w:pPr>
              <w:pStyle w:val="ListParagraph"/>
              <w:numPr>
                <w:ilvl w:val="0"/>
                <w:numId w:val="2"/>
              </w:numPr>
              <w:spacing w:after="40" w:before="0"/>
            </w:pPr>
            <w:r>
              <w:rPr>
                <w:rFonts w:ascii="Calibri" w:cs="Arial" w:eastAsia="Arial" w:hAnsi="Calibri"/>
                <w:b w:val="0"/>
                <w:i w:val="0"/>
                <w:color w:val="000000"/>
                <w:sz w:val="22"/>
                <w:szCs w:val="17"/>
              </w:rPr>
              <w:t xml:space="preserve">Derived TAM using two parallel methods: POTRAZ penetration × replacement cycle logic (2.71M units/year) and Zambia HS 8517 Comtrade comparator adjusted for informal imports (1.24M units/year); used average of 1.98M units as conservative estimate</w:t>
            </w:r>
          </w:p>
          <w:p>
            <w:pPr>
              <w:pStyle w:val="ListParagraph"/>
              <w:numPr>
                <w:ilvl w:val="0"/>
                <w:numId w:val="2"/>
              </w:numPr>
              <w:spacing w:after="40" w:before="0"/>
            </w:pPr>
            <w:r>
              <w:rPr>
                <w:rFonts w:ascii="Calibri" w:cs="Arial" w:eastAsia="Arial" w:hAnsi="Calibri"/>
                <w:b w:val="0"/>
                <w:i w:val="0"/>
                <w:color w:val="000000"/>
                <w:sz w:val="22"/>
                <w:szCs w:val="17"/>
              </w:rPr>
              <w:t xml:space="preserve">Applied SAM filters: smartphone-owning, financially excluded, income-qualifying, sub-$200 device segment; applied 25% SAM reduction for Econet Kancane Kancane competitive overlap</w:t>
            </w:r>
          </w:p>
          <w:p>
            <w:pPr>
              <w:spacing w:after="30" w:before="60"/>
            </w:pPr>
            <w:r>
              <w:rPr>
                <w:rFonts w:ascii="Calibri" w:cs="Arial" w:eastAsia="Arial" w:hAnsi="Calibri"/>
                <w:b w:val="0"/>
                <w:bCs/>
                <w:i w:val="0"/>
                <w:color w:val="000000"/>
                <w:sz w:val="22"/>
                <w:szCs w:val="17"/>
              </w:rPr>
              <w:t xml:space="preserve">Competitive Intelligence</w:t>
            </w:r>
          </w:p>
          <w:p>
            <w:pPr>
              <w:pStyle w:val="ListParagraph"/>
              <w:numPr>
                <w:ilvl w:val="0"/>
                <w:numId w:val="2"/>
              </w:numPr>
              <w:spacing w:after="40" w:before="0"/>
            </w:pPr>
            <w:r>
              <w:rPr>
                <w:rFonts w:ascii="Calibri" w:cs="Arial" w:eastAsia="Arial" w:hAnsi="Calibri"/>
                <w:b w:val="0"/>
                <w:i w:val="0"/>
                <w:color w:val="000000"/>
                <w:sz w:val="22"/>
                <w:szCs w:val="17"/>
              </w:rPr>
              <w:t xml:space="preserve">Researched Econet Kancane Kancane scheme: identified requirement for salaried employment with payslip and in-person shop visit as exclusionary factors for Lynia's informal economy target segment (~60% of market)</w:t>
            </w:r>
          </w:p>
        </w:tc>
        <w:tc>
          <w:tcPr>
            <w:tcW w:type="dxa" w:w="3026"/>
            <w:tcBorders>
              <w:top w:val="single" w:sz="4"/>
              <w:left w:val="single" w:sz="4"/>
              <w:bottom w:val="single" w:sz="4"/>
              <w:right w:val="single" w:sz="4"/>
            </w:tcBorders>
            <w:tcMar>
              <w:top w:type="dxa" w:w="90"/>
              <w:left w:type="dxa" w:w="120"/>
              <w:bottom w:type="dxa" w:w="90"/>
              <w:right w:type="dxa" w:w="120"/>
            </w:tcMar>
          </w:tcPr>
          <w:p>
            <w:pPr>
              <w:pStyle w:val="ListParagraph"/>
              <w:numPr>
                <w:ilvl w:val="0"/>
                <w:numId w:val="2"/>
              </w:numPr>
              <w:spacing w:after="40" w:before="0"/>
            </w:pPr>
            <w:r>
              <w:rPr>
                <w:rFonts w:ascii="Calibri" w:cs="Arial" w:eastAsia="Arial" w:hAnsi="Calibri"/>
                <w:b w:val="0"/>
                <w:i w:val="0"/>
                <w:color w:val="000000"/>
                <w:sz w:val="22"/>
                <w:szCs w:val="17"/>
              </w:rPr>
              <w:t xml:space="preserve">Market sizing methodology using official government and multilateral data sources</w:t>
            </w:r>
          </w:p>
          <w:p>
            <w:pPr>
              <w:pStyle w:val="ListParagraph"/>
              <w:numPr>
                <w:ilvl w:val="0"/>
                <w:numId w:val="2"/>
              </w:numPr>
              <w:spacing w:after="40" w:before="0"/>
            </w:pPr>
            <w:r>
              <w:rPr>
                <w:rFonts w:ascii="Calibri" w:cs="Arial" w:eastAsia="Arial" w:hAnsi="Calibri"/>
                <w:b w:val="0"/>
                <w:i w:val="0"/>
                <w:color w:val="000000"/>
                <w:sz w:val="22"/>
                <w:szCs w:val="17"/>
              </w:rPr>
              <w:t xml:space="preserve">Import trade data analysis (UN Comtrade HS code framework)</w:t>
            </w:r>
          </w:p>
          <w:p>
            <w:pPr>
              <w:pStyle w:val="ListParagraph"/>
              <w:numPr>
                <w:ilvl w:val="0"/>
                <w:numId w:val="2"/>
              </w:numPr>
              <w:spacing w:after="40" w:before="0"/>
            </w:pPr>
            <w:r>
              <w:rPr>
                <w:rFonts w:ascii="Calibri" w:cs="Arial" w:eastAsia="Arial" w:hAnsi="Calibri"/>
                <w:b w:val="0"/>
                <w:i w:val="0"/>
                <w:color w:val="000000"/>
                <w:sz w:val="22"/>
                <w:szCs w:val="17"/>
              </w:rPr>
              <w:t xml:space="preserve">Competitive intelligence and market segmentation for device financing</w:t>
            </w:r>
          </w:p>
        </w:tc>
      </w:tr>
      <w:tr>
        <w:tc>
          <w:tcPr>
            <w:tcW w:type="dxa" w:w="1200"/>
            <w:tcBorders>
              <w:top w:val="single" w:sz="4"/>
              <w:left w:val="single" w:sz="4"/>
              <w:bottom w:val="single" w:sz="4"/>
              <w:right w:val="single" w:sz="4"/>
            </w:tcBorders>
            <w:tcMar>
              <w:top w:type="dxa" w:w="90"/>
              <w:left w:type="dxa" w:w="120"/>
              <w:bottom w:type="dxa" w:w="90"/>
              <w:right w:type="dxa" w:w="120"/>
            </w:tcMar>
            <w:vAlign w:val="center"/>
          </w:tcPr>
          <w:p>
            <w:pPr>
              <w:jc w:val="center"/>
            </w:pPr>
            <w:r>
              <w:rPr>
                <w:rFonts w:ascii="Calibri" w:cs="Arial" w:eastAsia="Arial" w:hAnsi="Calibri"/>
                <w:b w:val="0"/>
                <w:bCs/>
                <w:i w:val="0"/>
                <w:color w:val="000000"/>
                <w:sz w:val="22"/>
                <w:szCs w:val="17"/>
              </w:rPr>
              <w:t xml:space="preserve">13 Jan 2026</w:t>
            </w:r>
          </w:p>
        </w:tc>
        <w:tc>
          <w:tcPr>
            <w:tcW w:type="dxa" w:w="4800"/>
            <w:tcBorders>
              <w:top w:val="single" w:sz="4"/>
              <w:left w:val="single" w:sz="4"/>
              <w:bottom w:val="single" w:sz="4"/>
              <w:right w:val="single" w:sz="4"/>
            </w:tcBorders>
            <w:tcMar>
              <w:top w:type="dxa" w:w="90"/>
              <w:left w:type="dxa" w:w="120"/>
              <w:bottom w:type="dxa" w:w="90"/>
              <w:right w:type="dxa" w:w="120"/>
            </w:tcMar>
          </w:tcPr>
          <w:p>
            <w:pPr>
              <w:spacing w:after="30" w:before="60"/>
            </w:pPr>
            <w:r>
              <w:rPr>
                <w:rFonts w:ascii="Calibri" w:cs="Arial" w:eastAsia="Arial" w:hAnsi="Calibri"/>
                <w:b w:val="0"/>
                <w:bCs/>
                <w:i w:val="0"/>
                <w:color w:val="000000"/>
                <w:sz w:val="22"/>
                <w:szCs w:val="17"/>
              </w:rPr>
              <w:t xml:space="preserve">Smartphone Device Lending Financial Model</w:t>
            </w:r>
          </w:p>
          <w:p>
            <w:pPr>
              <w:pStyle w:val="ListParagraph"/>
              <w:numPr>
                <w:ilvl w:val="0"/>
                <w:numId w:val="2"/>
              </w:numPr>
              <w:spacing w:after="40" w:before="0"/>
            </w:pPr>
            <w:r>
              <w:rPr>
                <w:rFonts w:ascii="Calibri" w:cs="Arial" w:eastAsia="Arial" w:hAnsi="Calibri"/>
                <w:b w:val="0"/>
                <w:i w:val="0"/>
                <w:color w:val="000000"/>
                <w:sz w:val="22"/>
                <w:szCs w:val="17"/>
              </w:rPr>
              <w:t xml:space="preserve">Analysed Zimbabwe smartphone import data from ITC Trade Map files (IC_by_Product_01_2026.xlsx, IC_by_HS4_01_2026.xlsx): extracted HS 8517.12 and 8517.13 annual totals 2021–2025 to anchor TAM at $7.36M formal imports in 2025</w:t>
            </w:r>
          </w:p>
          <w:p>
            <w:pPr>
              <w:pStyle w:val="ListParagraph"/>
              <w:numPr>
                <w:ilvl w:val="0"/>
                <w:numId w:val="2"/>
              </w:numPr>
              <w:spacing w:after="40" w:before="0"/>
            </w:pPr>
            <w:r>
              <w:rPr>
                <w:rFonts w:ascii="Calibri" w:cs="Arial" w:eastAsia="Arial" w:hAnsi="Calibri"/>
                <w:b w:val="0"/>
                <w:i w:val="0"/>
                <w:color w:val="000000"/>
                <w:sz w:val="22"/>
                <w:szCs w:val="17"/>
              </w:rPr>
              <w:t xml:space="preserve">Restructured smartphone device model to a 7-sheet investor format matching civil servant model: Comments, Assumptions, Market Sizing, Unit Economics, Year 1 P&amp;L Scenarios, Monthly Cash Flow Yr1, Sources &amp; Links</w:t>
            </w:r>
          </w:p>
          <w:p>
            <w:pPr>
              <w:pStyle w:val="ListParagraph"/>
              <w:numPr>
                <w:ilvl w:val="0"/>
                <w:numId w:val="2"/>
              </w:numPr>
              <w:spacing w:after="40" w:before="0"/>
            </w:pPr>
            <w:r>
              <w:rPr>
                <w:rFonts w:ascii="Calibri" w:cs="Arial" w:eastAsia="Arial" w:hAnsi="Calibri"/>
                <w:b w:val="0"/>
                <w:i w:val="0"/>
                <w:color w:val="000000"/>
                <w:sz w:val="22"/>
                <w:szCs w:val="17"/>
              </w:rPr>
              <w:t xml:space="preserve">Modelled Trustonic device-lock technology as collateral substitute: structured loan terms at 20% deposit, 80% financed balance, 12-month equal monthly instalments in USD</w:t>
            </w:r>
          </w:p>
          <w:p>
            <w:pPr>
              <w:pStyle w:val="ListParagraph"/>
              <w:numPr>
                <w:ilvl w:val="0"/>
                <w:numId w:val="2"/>
              </w:numPr>
              <w:spacing w:after="40" w:before="0"/>
            </w:pPr>
            <w:r>
              <w:rPr>
                <w:rFonts w:ascii="Calibri" w:cs="Arial" w:eastAsia="Arial" w:hAnsi="Calibri"/>
                <w:b w:val="0"/>
                <w:i w:val="0"/>
                <w:color w:val="000000"/>
                <w:sz w:val="22"/>
                <w:szCs w:val="17"/>
              </w:rPr>
              <w:t xml:space="preserve">Switched KYC provider from Smile Identity ($0.50/check) to DIDIT ($0.20 for ID Auth + Face Liveness) following competitive pricing analysis; added 2% credit life insurance as a variable cost per loan</w:t>
            </w:r>
          </w:p>
          <w:p>
            <w:pPr>
              <w:spacing w:after="30" w:before="60"/>
            </w:pPr>
            <w:r>
              <w:rPr>
                <w:rFonts w:ascii="Calibri" w:cs="Arial" w:eastAsia="Arial" w:hAnsi="Calibri"/>
                <w:b w:val="0"/>
                <w:bCs/>
                <w:i w:val="0"/>
                <w:color w:val="000000"/>
                <w:sz w:val="22"/>
                <w:szCs w:val="17"/>
              </w:rPr>
              <w:t xml:space="preserve">Unit Economics Analysis</w:t>
            </w:r>
          </w:p>
          <w:p>
            <w:pPr>
              <w:pStyle w:val="ListParagraph"/>
              <w:numPr>
                <w:ilvl w:val="0"/>
                <w:numId w:val="2"/>
              </w:numPr>
              <w:spacing w:after="40" w:before="0"/>
            </w:pPr>
            <w:r>
              <w:rPr>
                <w:rFonts w:ascii="Calibri" w:cs="Arial" w:eastAsia="Arial" w:hAnsi="Calibri"/>
                <w:b w:val="0"/>
                <w:i w:val="0"/>
                <w:color w:val="000000"/>
                <w:sz w:val="22"/>
                <w:szCs w:val="17"/>
              </w:rPr>
              <w:t xml:space="preserve">Modelled interest rate scenarios at 7%/mo (conservative, near-zero spread), 8%/mo (mid, RBZ in duplum compliant), and 9%/mo (aggressive, flagged as exceeding in duplum rule — requires rental structure reclassification)</w:t>
            </w:r>
          </w:p>
          <w:p>
            <w:pPr>
              <w:pStyle w:val="ListParagraph"/>
              <w:numPr>
                <w:ilvl w:val="0"/>
                <w:numId w:val="2"/>
              </w:numPr>
              <w:spacing w:after="40" w:before="0"/>
            </w:pPr>
            <w:r>
              <w:rPr>
                <w:rFonts w:ascii="Calibri" w:cs="Arial" w:eastAsia="Arial" w:hAnsi="Calibri"/>
                <w:b w:val="0"/>
                <w:i w:val="0"/>
                <w:color w:val="000000"/>
                <w:sz w:val="22"/>
                <w:szCs w:val="17"/>
              </w:rPr>
              <w:t xml:space="preserve">Calculated CAC at 7.5% agent commission on device retail price, benchmarked against M-Kopa, PayJoy, and FoneYam commission structures in Sub-Saharan Africa</w:t>
            </w:r>
          </w:p>
        </w:tc>
        <w:tc>
          <w:tcPr>
            <w:tcW w:type="dxa" w:w="3026"/>
            <w:tcBorders>
              <w:top w:val="single" w:sz="4"/>
              <w:left w:val="single" w:sz="4"/>
              <w:bottom w:val="single" w:sz="4"/>
              <w:right w:val="single" w:sz="4"/>
            </w:tcBorders>
            <w:tcMar>
              <w:top w:type="dxa" w:w="90"/>
              <w:left w:type="dxa" w:w="120"/>
              <w:bottom w:type="dxa" w:w="90"/>
              <w:right w:type="dxa" w:w="120"/>
            </w:tcMar>
          </w:tcPr>
          <w:p>
            <w:pPr>
              <w:pStyle w:val="ListParagraph"/>
              <w:numPr>
                <w:ilvl w:val="0"/>
                <w:numId w:val="2"/>
              </w:numPr>
              <w:spacing w:after="40" w:before="0"/>
            </w:pPr>
            <w:r>
              <w:rPr>
                <w:rFonts w:ascii="Calibri" w:cs="Arial" w:eastAsia="Arial" w:hAnsi="Calibri"/>
                <w:b w:val="0"/>
                <w:i w:val="0"/>
                <w:color w:val="000000"/>
                <w:sz w:val="22"/>
                <w:szCs w:val="17"/>
              </w:rPr>
              <w:t xml:space="preserve">Trade data analysis and import statistics interpretation (ITC Trade Map methodology)</w:t>
            </w:r>
          </w:p>
          <w:p>
            <w:pPr>
              <w:pStyle w:val="ListParagraph"/>
              <w:numPr>
                <w:ilvl w:val="0"/>
                <w:numId w:val="2"/>
              </w:numPr>
              <w:spacing w:after="40" w:before="0"/>
            </w:pPr>
            <w:r>
              <w:rPr>
                <w:rFonts w:ascii="Calibri" w:cs="Arial" w:eastAsia="Arial" w:hAnsi="Calibri"/>
                <w:b w:val="0"/>
                <w:i w:val="0"/>
                <w:color w:val="000000"/>
                <w:sz w:val="22"/>
                <w:szCs w:val="17"/>
              </w:rPr>
              <w:t xml:space="preserve">Device-backed lending product structuring and collateral risk modelling</w:t>
            </w:r>
          </w:p>
          <w:p>
            <w:pPr>
              <w:pStyle w:val="ListParagraph"/>
              <w:numPr>
                <w:ilvl w:val="0"/>
                <w:numId w:val="2"/>
              </w:numPr>
              <w:spacing w:after="40" w:before="0"/>
            </w:pPr>
            <w:r>
              <w:rPr>
                <w:rFonts w:ascii="Calibri" w:cs="Arial" w:eastAsia="Arial" w:hAnsi="Calibri"/>
                <w:b w:val="0"/>
                <w:i w:val="0"/>
                <w:color w:val="000000"/>
                <w:sz w:val="22"/>
                <w:szCs w:val="17"/>
              </w:rPr>
              <w:t xml:space="preserve">Regulatory compliance modelling (Zimbabwe in duplum rule, Moneylending Act)</w:t>
            </w:r>
          </w:p>
        </w:tc>
      </w:tr>
      <w:tr>
        <w:tc>
          <w:tcPr>
            <w:tcW w:type="dxa" w:w="1200"/>
            <w:tcBorders>
              <w:top w:val="single" w:sz="4"/>
              <w:left w:val="single" w:sz="4"/>
              <w:bottom w:val="single" w:sz="4"/>
              <w:right w:val="single" w:sz="4"/>
            </w:tcBorders>
            <w:tcMar>
              <w:top w:type="dxa" w:w="90"/>
              <w:left w:type="dxa" w:w="120"/>
              <w:bottom w:type="dxa" w:w="90"/>
              <w:right w:type="dxa" w:w="120"/>
            </w:tcMar>
            <w:vAlign w:val="center"/>
          </w:tcPr>
          <w:p>
            <w:pPr>
              <w:jc w:val="center"/>
            </w:pPr>
            <w:r>
              <w:rPr>
                <w:rFonts w:ascii="Calibri" w:cs="Arial" w:eastAsia="Arial" w:hAnsi="Calibri"/>
                <w:b w:val="0"/>
                <w:bCs/>
                <w:i w:val="0"/>
                <w:color w:val="000000"/>
                <w:sz w:val="22"/>
                <w:szCs w:val="17"/>
              </w:rPr>
              <w:t xml:space="preserve">20 Jan 2026</w:t>
            </w:r>
          </w:p>
        </w:tc>
        <w:tc>
          <w:tcPr>
            <w:tcW w:type="dxa" w:w="4800"/>
            <w:tcBorders>
              <w:top w:val="single" w:sz="4"/>
              <w:left w:val="single" w:sz="4"/>
              <w:bottom w:val="single" w:sz="4"/>
              <w:right w:val="single" w:sz="4"/>
            </w:tcBorders>
            <w:tcMar>
              <w:top w:type="dxa" w:w="90"/>
              <w:left w:type="dxa" w:w="120"/>
              <w:bottom w:type="dxa" w:w="90"/>
              <w:right w:type="dxa" w:w="120"/>
            </w:tcMar>
          </w:tcPr>
          <w:p>
            <w:pPr>
              <w:spacing w:after="30" w:before="60"/>
            </w:pPr>
            <w:r>
              <w:rPr>
                <w:rFonts w:ascii="Calibri" w:cs="Arial" w:eastAsia="Arial" w:hAnsi="Calibri"/>
                <w:b w:val="0"/>
                <w:bCs/>
                <w:i w:val="0"/>
                <w:color w:val="000000"/>
                <w:sz w:val="22"/>
                <w:szCs w:val="17"/>
              </w:rPr>
              <w:t xml:space="preserve">Civil Servant Microloan Financial Model</w:t>
            </w:r>
          </w:p>
          <w:p>
            <w:pPr>
              <w:pStyle w:val="ListParagraph"/>
              <w:numPr>
                <w:ilvl w:val="0"/>
                <w:numId w:val="2"/>
              </w:numPr>
              <w:spacing w:after="40" w:before="0"/>
            </w:pPr>
            <w:r>
              <w:rPr>
                <w:rFonts w:ascii="Calibri" w:cs="Arial" w:eastAsia="Arial" w:hAnsi="Calibri"/>
                <w:b w:val="0"/>
                <w:i w:val="0"/>
                <w:color w:val="000000"/>
                <w:sz w:val="22"/>
                <w:szCs w:val="17"/>
              </w:rPr>
              <w:t xml:space="preserve">Built a six-sheet investor-grade Excel model for Lynia's civil servant payroll-deduction microloan product: Assumptions, Market Sizing, Unit Economics, Year 1 P&amp;L Scenarios, Monthly Cash Flow, Sources &amp; Links</w:t>
            </w:r>
          </w:p>
          <w:p>
            <w:pPr>
              <w:pStyle w:val="ListParagraph"/>
              <w:numPr>
                <w:ilvl w:val="0"/>
                <w:numId w:val="2"/>
              </w:numPr>
              <w:spacing w:after="40" w:before="0"/>
            </w:pPr>
            <w:r>
              <w:rPr>
                <w:rFonts w:ascii="Calibri" w:cs="Arial" w:eastAsia="Arial" w:hAnsi="Calibri"/>
                <w:b w:val="0"/>
                <w:i w:val="0"/>
                <w:color w:val="000000"/>
                <w:sz w:val="22"/>
                <w:szCs w:val="17"/>
              </w:rPr>
              <w:t xml:space="preserve">Sourced all macro inputs from primary government documents: Zimbabwe 2026 National Budget Speech (zimtreasury.co.zw), RBZ monetary policy statements, and parliamentary salary disclosures</w:t>
            </w:r>
          </w:p>
          <w:p>
            <w:pPr>
              <w:pStyle w:val="ListParagraph"/>
              <w:numPr>
                <w:ilvl w:val="0"/>
                <w:numId w:val="2"/>
              </w:numPr>
              <w:spacing w:after="40" w:before="0"/>
            </w:pPr>
            <w:r>
              <w:rPr>
                <w:rFonts w:ascii="Calibri" w:cs="Arial" w:eastAsia="Arial" w:hAnsi="Calibri"/>
                <w:b w:val="0"/>
                <w:i w:val="0"/>
                <w:color w:val="000000"/>
                <w:sz w:val="22"/>
                <w:szCs w:val="17"/>
              </w:rPr>
              <w:t xml:space="preserve">Modelled Salary Services Bureau (SSB) payroll deduction as primary repayment channel; applied the 50% net salary deduction cap and in duplum rule as hard regulatory constraints</w:t>
            </w:r>
          </w:p>
          <w:p>
            <w:pPr>
              <w:pStyle w:val="ListParagraph"/>
              <w:numPr>
                <w:ilvl w:val="0"/>
                <w:numId w:val="2"/>
              </w:numPr>
              <w:spacing w:after="40" w:before="0"/>
            </w:pPr>
            <w:r>
              <w:rPr>
                <w:rFonts w:ascii="Calibri" w:cs="Arial" w:eastAsia="Arial" w:hAnsi="Calibri"/>
                <w:b w:val="0"/>
                <w:i w:val="0"/>
                <w:color w:val="000000"/>
                <w:sz w:val="22"/>
                <w:szCs w:val="17"/>
              </w:rPr>
              <w:t xml:space="preserve">Constructed S-curve loan ramp logic for Monthly Cash Flow: 100 loans in M1 scaling to 700 in M8, tapering to 332 in M12, summing exactly to 5,712 Year 1 loans consistent with Market Sizing SOM</w:t>
            </w:r>
          </w:p>
          <w:p>
            <w:pPr>
              <w:spacing w:after="30" w:before="60"/>
            </w:pPr>
            <w:r>
              <w:rPr>
                <w:rFonts w:ascii="Calibri" w:cs="Arial" w:eastAsia="Arial" w:hAnsi="Calibri"/>
                <w:b w:val="0"/>
                <w:bCs/>
                <w:i w:val="0"/>
                <w:color w:val="000000"/>
                <w:sz w:val="22"/>
                <w:szCs w:val="17"/>
              </w:rPr>
              <w:t xml:space="preserve">Financial Inclusion Research</w:t>
            </w:r>
          </w:p>
          <w:p>
            <w:pPr>
              <w:pStyle w:val="ListParagraph"/>
              <w:numPr>
                <w:ilvl w:val="0"/>
                <w:numId w:val="2"/>
              </w:numPr>
              <w:spacing w:after="40" w:before="0"/>
            </w:pPr>
            <w:r>
              <w:rPr>
                <w:rFonts w:ascii="Calibri" w:cs="Arial" w:eastAsia="Arial" w:hAnsi="Calibri"/>
                <w:b w:val="0"/>
                <w:i w:val="0"/>
                <w:color w:val="000000"/>
                <w:sz w:val="22"/>
                <w:szCs w:val="17"/>
              </w:rPr>
              <w:t xml:space="preserve">Reviewed RBZ quarterly MFI performance reports and ICRA Rating Zimbabwe industry data to calibrate interest rate scenarios: 9%/mo conservative, 12%/mo mid, 15%/mo aggressive — all benchmarked against actual Zimbabwe MFI pricing</w:t>
            </w:r>
          </w:p>
        </w:tc>
        <w:tc>
          <w:tcPr>
            <w:tcW w:type="dxa" w:w="3026"/>
            <w:tcBorders>
              <w:top w:val="single" w:sz="4"/>
              <w:left w:val="single" w:sz="4"/>
              <w:bottom w:val="single" w:sz="4"/>
              <w:right w:val="single" w:sz="4"/>
            </w:tcBorders>
            <w:tcMar>
              <w:top w:type="dxa" w:w="90"/>
              <w:left w:type="dxa" w:w="120"/>
              <w:bottom w:type="dxa" w:w="90"/>
              <w:right w:type="dxa" w:w="120"/>
            </w:tcMar>
          </w:tcPr>
          <w:p>
            <w:pPr>
              <w:pStyle w:val="ListParagraph"/>
              <w:numPr>
                <w:ilvl w:val="0"/>
                <w:numId w:val="2"/>
              </w:numPr>
              <w:spacing w:after="40" w:before="0"/>
            </w:pPr>
            <w:r>
              <w:rPr>
                <w:rFonts w:ascii="Calibri" w:cs="Arial" w:eastAsia="Arial" w:hAnsi="Calibri"/>
                <w:b w:val="0"/>
                <w:i w:val="0"/>
                <w:color w:val="000000"/>
                <w:sz w:val="22"/>
                <w:szCs w:val="17"/>
              </w:rPr>
              <w:t xml:space="preserve">Government budget document analysis and macro data extraction</w:t>
            </w:r>
          </w:p>
          <w:p>
            <w:pPr>
              <w:pStyle w:val="ListParagraph"/>
              <w:numPr>
                <w:ilvl w:val="0"/>
                <w:numId w:val="2"/>
              </w:numPr>
              <w:spacing w:after="40" w:before="0"/>
            </w:pPr>
            <w:r>
              <w:rPr>
                <w:rFonts w:ascii="Calibri" w:cs="Arial" w:eastAsia="Arial" w:hAnsi="Calibri"/>
                <w:b w:val="0"/>
                <w:i w:val="0"/>
                <w:color w:val="000000"/>
                <w:sz w:val="22"/>
                <w:szCs w:val="17"/>
              </w:rPr>
              <w:t xml:space="preserve">S-curve growth modelling for financial product ramp forecasting</w:t>
            </w:r>
          </w:p>
          <w:p>
            <w:pPr>
              <w:pStyle w:val="ListParagraph"/>
              <w:numPr>
                <w:ilvl w:val="0"/>
                <w:numId w:val="2"/>
              </w:numPr>
              <w:spacing w:after="40" w:before="0"/>
            </w:pPr>
            <w:r>
              <w:rPr>
                <w:rFonts w:ascii="Calibri" w:cs="Arial" w:eastAsia="Arial" w:hAnsi="Calibri"/>
                <w:b w:val="0"/>
                <w:i w:val="0"/>
                <w:color w:val="000000"/>
                <w:sz w:val="22"/>
                <w:szCs w:val="17"/>
              </w:rPr>
              <w:t xml:space="preserve">Payroll-deduction lending regulatory framework (SSB, in duplum rule, net salary cap)</w:t>
            </w:r>
          </w:p>
        </w:tc>
      </w:tr>
      <w:tr>
        <w:tc>
          <w:tcPr>
            <w:tcW w:type="dxa" w:w="1200"/>
            <w:tcBorders>
              <w:top w:val="single" w:sz="4"/>
              <w:left w:val="single" w:sz="4"/>
              <w:bottom w:val="single" w:sz="4"/>
              <w:right w:val="single" w:sz="4"/>
            </w:tcBorders>
            <w:tcMar>
              <w:top w:type="dxa" w:w="90"/>
              <w:left w:type="dxa" w:w="120"/>
              <w:bottom w:type="dxa" w:w="90"/>
              <w:right w:type="dxa" w:w="120"/>
            </w:tcMar>
            <w:vAlign w:val="center"/>
          </w:tcPr>
          <w:p>
            <w:pPr>
              <w:jc w:val="center"/>
            </w:pPr>
            <w:r>
              <w:rPr>
                <w:rFonts w:ascii="Calibri" w:cs="Arial" w:eastAsia="Arial" w:hAnsi="Calibri"/>
                <w:b w:val="0"/>
                <w:bCs/>
                <w:i w:val="0"/>
                <w:color w:val="000000"/>
                <w:sz w:val="22"/>
                <w:szCs w:val="17"/>
              </w:rPr>
              <w:t xml:space="preserve">27 Jan 2026</w:t>
            </w:r>
          </w:p>
        </w:tc>
        <w:tc>
          <w:tcPr>
            <w:tcW w:type="dxa" w:w="4800"/>
            <w:tcBorders>
              <w:top w:val="single" w:sz="4"/>
              <w:left w:val="single" w:sz="4"/>
              <w:bottom w:val="single" w:sz="4"/>
              <w:right w:val="single" w:sz="4"/>
            </w:tcBorders>
            <w:tcMar>
              <w:top w:type="dxa" w:w="90"/>
              <w:left w:type="dxa" w:w="120"/>
              <w:bottom w:type="dxa" w:w="90"/>
              <w:right w:type="dxa" w:w="120"/>
            </w:tcMar>
          </w:tcPr>
          <w:p>
            <w:pPr>
              <w:spacing w:after="30" w:before="60"/>
            </w:pPr>
            <w:r>
              <w:rPr>
                <w:rFonts w:ascii="Calibri" w:cs="Arial" w:eastAsia="Arial" w:hAnsi="Calibri"/>
                <w:b w:val="0"/>
                <w:bCs/>
                <w:i w:val="0"/>
                <w:color w:val="000000"/>
                <w:sz w:val="22"/>
                <w:szCs w:val="17"/>
              </w:rPr>
              <w:t xml:space="preserve">Civil Servant Model — RBZ Data Integration &amp; OpEx Build</w:t>
            </w:r>
          </w:p>
          <w:p>
            <w:pPr>
              <w:pStyle w:val="ListParagraph"/>
              <w:numPr>
                <w:ilvl w:val="0"/>
                <w:numId w:val="2"/>
              </w:numPr>
              <w:spacing w:after="40" w:before="0"/>
            </w:pPr>
            <w:r>
              <w:rPr>
                <w:rFonts w:ascii="Calibri" w:cs="Arial" w:eastAsia="Arial" w:hAnsi="Calibri"/>
                <w:b w:val="0"/>
                <w:i w:val="0"/>
                <w:color w:val="000000"/>
                <w:sz w:val="22"/>
                <w:szCs w:val="17"/>
              </w:rPr>
              <w:t xml:space="preserve">Integrated nine comment-driven model updates sourced from RBZ MFI benchmark data: insurance charges (2% credit life on principal), average loan term revised to 3 months, mobile money charge split (Lynia absorbs disbursement IMTT + EcoCash fee ~3.3%; borrower absorbs cash-out)</w:t>
            </w:r>
          </w:p>
          <w:p>
            <w:pPr>
              <w:pStyle w:val="ListParagraph"/>
              <w:numPr>
                <w:ilvl w:val="0"/>
                <w:numId w:val="2"/>
              </w:numPr>
              <w:spacing w:after="40" w:before="0"/>
            </w:pPr>
            <w:r>
              <w:rPr>
                <w:rFonts w:ascii="Calibri" w:cs="Arial" w:eastAsia="Arial" w:hAnsi="Calibri"/>
                <w:b w:val="0"/>
                <w:i w:val="0"/>
                <w:color w:val="000000"/>
                <w:sz w:val="22"/>
                <w:szCs w:val="17"/>
              </w:rPr>
              <w:t xml:space="preserve">Built detailed 5-person Year 1 OpEx structure: CEO ($2,750/mo), two software developers ($1,350/mo each), two customer service representatives ($1,350/mo each), office ($600/mo Harare CBD), tech infrastructure ($250/mo AWS + WhatsApp Cloud API), bookkeeping ($125/mo) — total $9,125/mo fixed costs</w:t>
            </w:r>
          </w:p>
          <w:p>
            <w:pPr>
              <w:pStyle w:val="ListParagraph"/>
              <w:numPr>
                <w:ilvl w:val="0"/>
                <w:numId w:val="2"/>
              </w:numPr>
              <w:spacing w:after="40" w:before="0"/>
            </w:pPr>
            <w:r>
              <w:rPr>
                <w:rFonts w:ascii="Calibri" w:cs="Arial" w:eastAsia="Arial" w:hAnsi="Calibri"/>
                <w:b w:val="0"/>
                <w:i w:val="0"/>
                <w:color w:val="000000"/>
                <w:sz w:val="22"/>
                <w:szCs w:val="17"/>
              </w:rPr>
              <w:t xml:space="preserve">Recalibrated peak funding requirement: $177,000 at Month 9 under mid-scenario (12%/mo), with near-breakeven at aggressive scenario ($-6,500 net Year 1)</w:t>
            </w:r>
          </w:p>
          <w:p>
            <w:pPr>
              <w:pStyle w:val="ListParagraph"/>
              <w:numPr>
                <w:ilvl w:val="0"/>
                <w:numId w:val="2"/>
              </w:numPr>
              <w:spacing w:after="40" w:before="0"/>
            </w:pPr>
            <w:r>
              <w:rPr>
                <w:rFonts w:ascii="Calibri" w:cs="Arial" w:eastAsia="Arial" w:hAnsi="Calibri"/>
                <w:b w:val="0"/>
                <w:i w:val="0"/>
                <w:color w:val="000000"/>
                <w:sz w:val="22"/>
                <w:szCs w:val="17"/>
              </w:rPr>
              <w:t xml:space="preserve">Updated recovery rate from 30% to 60% based on SSB involuntary payroll deduction as an alternative recovery mechanism</w:t>
            </w:r>
          </w:p>
          <w:p>
            <w:pPr>
              <w:spacing w:after="30" w:before="60"/>
            </w:pPr>
            <w:r>
              <w:rPr>
                <w:rFonts w:ascii="Calibri" w:cs="Arial" w:eastAsia="Arial" w:hAnsi="Calibri"/>
                <w:b w:val="0"/>
                <w:bCs/>
                <w:i w:val="0"/>
                <w:color w:val="000000"/>
                <w:sz w:val="22"/>
                <w:szCs w:val="17"/>
              </w:rPr>
              <w:t xml:space="preserve">Cost of Capital Research</w:t>
            </w:r>
          </w:p>
          <w:p>
            <w:pPr>
              <w:pStyle w:val="ListParagraph"/>
              <w:numPr>
                <w:ilvl w:val="0"/>
                <w:numId w:val="2"/>
              </w:numPr>
              <w:spacing w:after="40" w:before="0"/>
            </w:pPr>
            <w:r>
              <w:rPr>
                <w:rFonts w:ascii="Calibri" w:cs="Arial" w:eastAsia="Arial" w:hAnsi="Calibri"/>
                <w:b w:val="0"/>
                <w:i w:val="0"/>
                <w:color w:val="000000"/>
                <w:sz w:val="22"/>
                <w:szCs w:val="17"/>
              </w:rPr>
              <w:t xml:space="preserve">Researched Zimbabwe wholesale financing costs: RBZ policy rate (35%), commercial bank lending rates (43–47% ZiG-denominated), USD DFI/impact investor rates (6–12% p.a.) — established 7%/mo (84% p.a.) as cost of capital assumption for USD wholesale funding</w:t>
            </w:r>
          </w:p>
        </w:tc>
        <w:tc>
          <w:tcPr>
            <w:tcW w:type="dxa" w:w="3026"/>
            <w:tcBorders>
              <w:top w:val="single" w:sz="4"/>
              <w:left w:val="single" w:sz="4"/>
              <w:bottom w:val="single" w:sz="4"/>
              <w:right w:val="single" w:sz="4"/>
            </w:tcBorders>
            <w:tcMar>
              <w:top w:type="dxa" w:w="90"/>
              <w:left w:type="dxa" w:w="120"/>
              <w:bottom w:type="dxa" w:w="90"/>
              <w:right w:type="dxa" w:w="120"/>
            </w:tcMar>
          </w:tcPr>
          <w:p>
            <w:pPr>
              <w:pStyle w:val="ListParagraph"/>
              <w:numPr>
                <w:ilvl w:val="0"/>
                <w:numId w:val="2"/>
              </w:numPr>
              <w:spacing w:after="40" w:before="0"/>
            </w:pPr>
            <w:r>
              <w:rPr>
                <w:rFonts w:ascii="Calibri" w:cs="Arial" w:eastAsia="Arial" w:hAnsi="Calibri"/>
                <w:b w:val="0"/>
                <w:i w:val="0"/>
                <w:color w:val="000000"/>
                <w:sz w:val="22"/>
                <w:szCs w:val="17"/>
              </w:rPr>
              <w:t xml:space="preserve">Operating cost structure design and staffing model development for early-stage fintech</w:t>
            </w:r>
          </w:p>
          <w:p>
            <w:pPr>
              <w:pStyle w:val="ListParagraph"/>
              <w:numPr>
                <w:ilvl w:val="0"/>
                <w:numId w:val="2"/>
              </w:numPr>
              <w:spacing w:after="40" w:before="0"/>
            </w:pPr>
            <w:r>
              <w:rPr>
                <w:rFonts w:ascii="Calibri" w:cs="Arial" w:eastAsia="Arial" w:hAnsi="Calibri"/>
                <w:b w:val="0"/>
                <w:i w:val="0"/>
                <w:color w:val="000000"/>
                <w:sz w:val="22"/>
                <w:szCs w:val="17"/>
              </w:rPr>
              <w:t xml:space="preserve">Cost of capital analysis in frontier market contexts</w:t>
            </w:r>
          </w:p>
          <w:p>
            <w:pPr>
              <w:pStyle w:val="ListParagraph"/>
              <w:numPr>
                <w:ilvl w:val="0"/>
                <w:numId w:val="2"/>
              </w:numPr>
              <w:spacing w:after="40" w:before="0"/>
            </w:pPr>
            <w:r>
              <w:rPr>
                <w:rFonts w:ascii="Calibri" w:cs="Arial" w:eastAsia="Arial" w:hAnsi="Calibri"/>
                <w:b w:val="0"/>
                <w:i w:val="0"/>
                <w:color w:val="000000"/>
                <w:sz w:val="22"/>
                <w:szCs w:val="17"/>
              </w:rPr>
              <w:t xml:space="preserve">Sensitivity analysis and scenario planning for financial models</w:t>
            </w:r>
          </w:p>
        </w:tc>
      </w:tr>
      <w:tr>
        <w:tc>
          <w:tcPr>
            <w:tcW w:type="dxa" w:w="1200"/>
            <w:tcBorders>
              <w:top w:val="single" w:sz="4"/>
              <w:left w:val="single" w:sz="4"/>
              <w:bottom w:val="single" w:sz="4"/>
              <w:right w:val="single" w:sz="4"/>
            </w:tcBorders>
            <w:tcMar>
              <w:top w:type="dxa" w:w="90"/>
              <w:left w:type="dxa" w:w="120"/>
              <w:bottom w:type="dxa" w:w="90"/>
              <w:right w:type="dxa" w:w="120"/>
            </w:tcMar>
            <w:vAlign w:val="center"/>
          </w:tcPr>
          <w:p>
            <w:pPr>
              <w:jc w:val="center"/>
            </w:pPr>
            <w:r>
              <w:rPr>
                <w:rFonts w:ascii="Calibri" w:cs="Arial" w:eastAsia="Arial" w:hAnsi="Calibri"/>
                <w:b w:val="0"/>
                <w:bCs/>
                <w:i w:val="0"/>
                <w:color w:val="000000"/>
                <w:sz w:val="22"/>
                <w:szCs w:val="17"/>
              </w:rPr>
              <w:t xml:space="preserve">3 Feb 2026</w:t>
            </w:r>
          </w:p>
        </w:tc>
        <w:tc>
          <w:tcPr>
            <w:tcW w:type="dxa" w:w="4800"/>
            <w:tcBorders>
              <w:top w:val="single" w:sz="4"/>
              <w:left w:val="single" w:sz="4"/>
              <w:bottom w:val="single" w:sz="4"/>
              <w:right w:val="single" w:sz="4"/>
            </w:tcBorders>
            <w:tcMar>
              <w:top w:type="dxa" w:w="90"/>
              <w:left w:type="dxa" w:w="120"/>
              <w:bottom w:type="dxa" w:w="90"/>
              <w:right w:type="dxa" w:w="120"/>
            </w:tcMar>
          </w:tcPr>
          <w:p>
            <w:pPr>
              <w:spacing w:after="30" w:before="60"/>
            </w:pPr>
            <w:r>
              <w:rPr>
                <w:rFonts w:ascii="Calibri" w:cs="Arial" w:eastAsia="Arial" w:hAnsi="Calibri"/>
                <w:b w:val="0"/>
                <w:bCs/>
                <w:i w:val="0"/>
                <w:color w:val="000000"/>
                <w:sz w:val="22"/>
                <w:szCs w:val="17"/>
              </w:rPr>
              <w:t xml:space="preserve">Mobile Money Partner Discovery — Technical Preparation</w:t>
            </w:r>
          </w:p>
          <w:p>
            <w:pPr>
              <w:pStyle w:val="ListParagraph"/>
              <w:numPr>
                <w:ilvl w:val="0"/>
                <w:numId w:val="2"/>
              </w:numPr>
              <w:spacing w:after="40" w:before="0"/>
            </w:pPr>
            <w:r>
              <w:rPr>
                <w:rFonts w:ascii="Calibri" w:cs="Arial" w:eastAsia="Arial" w:hAnsi="Calibri"/>
                <w:b w:val="0"/>
                <w:i w:val="0"/>
                <w:color w:val="000000"/>
                <w:sz w:val="22"/>
                <w:szCs w:val="17"/>
              </w:rPr>
              <w:t xml:space="preserve">Prepared technical discovery call materials for three Zimbabwean mobile money partners: EcoCash (Econet Wireless), InnBucks (Simbisa Brands), and O'mari (Old Mutual Zimbabwe)</w:t>
            </w:r>
          </w:p>
          <w:p>
            <w:pPr>
              <w:pStyle w:val="ListParagraph"/>
              <w:numPr>
                <w:ilvl w:val="0"/>
                <w:numId w:val="2"/>
              </w:numPr>
              <w:spacing w:after="40" w:before="0"/>
            </w:pPr>
            <w:r>
              <w:rPr>
                <w:rFonts w:ascii="Calibri" w:cs="Arial" w:eastAsia="Arial" w:hAnsi="Calibri"/>
                <w:b w:val="0"/>
                <w:i w:val="0"/>
                <w:color w:val="000000"/>
                <w:sz w:val="22"/>
                <w:szCs w:val="17"/>
              </w:rPr>
              <w:t xml:space="preserve">Drafted partner-specific technical questionnaires covering: webhook reliability and signing, standing debit mandate (pull payment without per-transaction PIN), idempotency key support, sandbox environment access, and transaction reference format for schema design</w:t>
            </w:r>
          </w:p>
          <w:p>
            <w:pPr>
              <w:pStyle w:val="ListParagraph"/>
              <w:numPr>
                <w:ilvl w:val="0"/>
                <w:numId w:val="2"/>
              </w:numPr>
              <w:spacing w:after="40" w:before="0"/>
            </w:pPr>
            <w:r>
              <w:rPr>
                <w:rFonts w:ascii="Calibri" w:cs="Arial" w:eastAsia="Arial" w:hAnsi="Calibri"/>
                <w:b w:val="0"/>
                <w:i w:val="0"/>
                <w:color w:val="000000"/>
                <w:sz w:val="22"/>
                <w:szCs w:val="17"/>
              </w:rPr>
              <w:t xml:space="preserve">Produced system integration pitch per partner summarising how Lynia's Lambda-based payment-service communicates with each provider's API</w:t>
            </w:r>
          </w:p>
          <w:p>
            <w:pPr>
              <w:pStyle w:val="ListParagraph"/>
              <w:numPr>
                <w:ilvl w:val="0"/>
                <w:numId w:val="2"/>
              </w:numPr>
              <w:spacing w:after="40" w:before="0"/>
            </w:pPr>
            <w:r>
              <w:rPr>
                <w:rFonts w:ascii="Calibri" w:cs="Arial" w:eastAsia="Arial" w:hAnsi="Calibri"/>
                <w:b w:val="0"/>
                <w:i w:val="0"/>
                <w:color w:val="000000"/>
                <w:sz w:val="22"/>
                <w:szCs w:val="17"/>
              </w:rPr>
              <w:t xml:space="preserve">Built interactive HTML document with tabbed navigation per partner covering all four sections: technical questionnaire, information checklist, system pitch, and compliance/KYC considerations</w:t>
            </w:r>
          </w:p>
          <w:p>
            <w:pPr>
              <w:spacing w:after="30" w:before="60"/>
            </w:pPr>
            <w:r>
              <w:rPr>
                <w:rFonts w:ascii="Calibri" w:cs="Arial" w:eastAsia="Arial" w:hAnsi="Calibri"/>
                <w:b w:val="0"/>
                <w:bCs/>
                <w:i w:val="0"/>
                <w:color w:val="000000"/>
                <w:sz w:val="22"/>
                <w:szCs w:val="17"/>
              </w:rPr>
              <w:t xml:space="preserve">Strategic Analysis</w:t>
            </w:r>
          </w:p>
          <w:p>
            <w:pPr>
              <w:pStyle w:val="ListParagraph"/>
              <w:numPr>
                <w:ilvl w:val="0"/>
                <w:numId w:val="2"/>
              </w:numPr>
              <w:spacing w:after="40" w:before="0"/>
            </w:pPr>
            <w:r>
              <w:rPr>
                <w:rFonts w:ascii="Calibri" w:cs="Arial" w:eastAsia="Arial" w:hAnsi="Calibri"/>
                <w:b w:val="0"/>
                <w:i w:val="0"/>
                <w:color w:val="000000"/>
                <w:sz w:val="22"/>
                <w:szCs w:val="17"/>
              </w:rPr>
              <w:t xml:space="preserve">Identified O'mari (Old Mutual) as the most strategically complex partner due to credit life insurance co-product opportunity — modelled potential reduction in non-performing loan exposure through bundled insurance</w:t>
            </w:r>
          </w:p>
        </w:tc>
        <w:tc>
          <w:tcPr>
            <w:tcW w:type="dxa" w:w="3026"/>
            <w:tcBorders>
              <w:top w:val="single" w:sz="4"/>
              <w:left w:val="single" w:sz="4"/>
              <w:bottom w:val="single" w:sz="4"/>
              <w:right w:val="single" w:sz="4"/>
            </w:tcBorders>
            <w:tcMar>
              <w:top w:type="dxa" w:w="90"/>
              <w:left w:type="dxa" w:w="120"/>
              <w:bottom w:type="dxa" w:w="90"/>
              <w:right w:type="dxa" w:w="120"/>
            </w:tcMar>
          </w:tcPr>
          <w:p>
            <w:pPr>
              <w:pStyle w:val="ListParagraph"/>
              <w:numPr>
                <w:ilvl w:val="0"/>
                <w:numId w:val="2"/>
              </w:numPr>
              <w:spacing w:after="40" w:before="0"/>
            </w:pPr>
            <w:r>
              <w:rPr>
                <w:rFonts w:ascii="Calibri" w:cs="Arial" w:eastAsia="Arial" w:hAnsi="Calibri"/>
                <w:b w:val="0"/>
                <w:i w:val="0"/>
                <w:color w:val="000000"/>
                <w:sz w:val="22"/>
                <w:szCs w:val="17"/>
              </w:rPr>
              <w:t xml:space="preserve">API integration due diligence and technical partner assessment</w:t>
            </w:r>
          </w:p>
          <w:p>
            <w:pPr>
              <w:pStyle w:val="ListParagraph"/>
              <w:numPr>
                <w:ilvl w:val="0"/>
                <w:numId w:val="2"/>
              </w:numPr>
              <w:spacing w:after="40" w:before="0"/>
            </w:pPr>
            <w:r>
              <w:rPr>
                <w:rFonts w:ascii="Calibri" w:cs="Arial" w:eastAsia="Arial" w:hAnsi="Calibri"/>
                <w:b w:val="0"/>
                <w:i w:val="0"/>
                <w:color w:val="000000"/>
                <w:sz w:val="22"/>
                <w:szCs w:val="17"/>
              </w:rPr>
              <w:t xml:space="preserve">Payment system architecture (standing mandate models, idempotency design patterns)</w:t>
            </w:r>
          </w:p>
          <w:p>
            <w:pPr>
              <w:pStyle w:val="ListParagraph"/>
              <w:numPr>
                <w:ilvl w:val="0"/>
                <w:numId w:val="2"/>
              </w:numPr>
              <w:spacing w:after="40" w:before="0"/>
            </w:pPr>
            <w:r>
              <w:rPr>
                <w:rFonts w:ascii="Calibri" w:cs="Arial" w:eastAsia="Arial" w:hAnsi="Calibri"/>
                <w:b w:val="0"/>
                <w:i w:val="0"/>
                <w:color w:val="000000"/>
                <w:sz w:val="22"/>
                <w:szCs w:val="17"/>
              </w:rPr>
              <w:t xml:space="preserve">Strategic partnership analysis in regulated financial services</w:t>
            </w:r>
          </w:p>
        </w:tc>
      </w:tr>
      <w:tr>
        <w:tc>
          <w:tcPr>
            <w:tcW w:type="dxa" w:w="1200"/>
            <w:tcBorders>
              <w:top w:val="single" w:sz="4"/>
              <w:left w:val="single" w:sz="4"/>
              <w:bottom w:val="single" w:sz="4"/>
              <w:right w:val="single" w:sz="4"/>
            </w:tcBorders>
            <w:tcMar>
              <w:top w:type="dxa" w:w="90"/>
              <w:left w:type="dxa" w:w="120"/>
              <w:bottom w:type="dxa" w:w="90"/>
              <w:right w:type="dxa" w:w="120"/>
            </w:tcMar>
            <w:vAlign w:val="center"/>
          </w:tcPr>
          <w:p>
            <w:pPr>
              <w:jc w:val="center"/>
            </w:pPr>
            <w:r>
              <w:rPr>
                <w:rFonts w:ascii="Calibri" w:cs="Arial" w:eastAsia="Arial" w:hAnsi="Calibri"/>
                <w:b w:val="0"/>
                <w:bCs/>
                <w:i w:val="0"/>
                <w:color w:val="000000"/>
                <w:sz w:val="22"/>
                <w:szCs w:val="17"/>
              </w:rPr>
              <w:t xml:space="preserve">10 Feb 2026</w:t>
            </w:r>
          </w:p>
        </w:tc>
        <w:tc>
          <w:tcPr>
            <w:tcW w:type="dxa" w:w="4800"/>
            <w:tcBorders>
              <w:top w:val="single" w:sz="4"/>
              <w:left w:val="single" w:sz="4"/>
              <w:bottom w:val="single" w:sz="4"/>
              <w:right w:val="single" w:sz="4"/>
            </w:tcBorders>
            <w:tcMar>
              <w:top w:type="dxa" w:w="90"/>
              <w:left w:type="dxa" w:w="120"/>
              <w:bottom w:type="dxa" w:w="90"/>
              <w:right w:type="dxa" w:w="120"/>
            </w:tcMar>
          </w:tcPr>
          <w:p>
            <w:pPr>
              <w:spacing w:after="30" w:before="60"/>
            </w:pPr>
            <w:r>
              <w:rPr>
                <w:rFonts w:ascii="Calibri" w:cs="Arial" w:eastAsia="Arial" w:hAnsi="Calibri"/>
                <w:b w:val="0"/>
                <w:bCs/>
                <w:i w:val="0"/>
                <w:color w:val="000000"/>
                <w:sz w:val="22"/>
                <w:szCs w:val="17"/>
              </w:rPr>
              <w:t xml:space="preserve">Admin Panel Comprehensive Audit</w:t>
            </w:r>
          </w:p>
          <w:p>
            <w:pPr>
              <w:pStyle w:val="ListParagraph"/>
              <w:numPr>
                <w:ilvl w:val="0"/>
                <w:numId w:val="2"/>
              </w:numPr>
              <w:spacing w:after="40" w:before="0"/>
            </w:pPr>
            <w:r>
              <w:rPr>
                <w:rFonts w:ascii="Calibri" w:cs="Arial" w:eastAsia="Arial" w:hAnsi="Calibri"/>
                <w:b w:val="0"/>
                <w:i w:val="0"/>
                <w:color w:val="000000"/>
                <w:sz w:val="22"/>
                <w:szCs w:val="17"/>
              </w:rPr>
              <w:t xml:space="preserve">Executed a full Phase 1–Phase 3 audit of admin.lyniafinance.com: codebase discovery across Next.js 14 frontend and Lambda microservices, user journey documentation, and live site testing</w:t>
            </w:r>
          </w:p>
          <w:p>
            <w:pPr>
              <w:pStyle w:val="ListParagraph"/>
              <w:numPr>
                <w:ilvl w:val="0"/>
                <w:numId w:val="2"/>
              </w:numPr>
              <w:spacing w:after="40" w:before="0"/>
            </w:pPr>
            <w:r>
              <w:rPr>
                <w:rFonts w:ascii="Calibri" w:cs="Arial" w:eastAsia="Arial" w:hAnsi="Calibri"/>
                <w:b w:val="0"/>
                <w:i w:val="0"/>
                <w:color w:val="000000"/>
                <w:sz w:val="22"/>
                <w:szCs w:val="17"/>
              </w:rPr>
              <w:t xml:space="preserve">Produced structured audit report covering Fineract deployment verification, architecture mapping (frontend → Lambda → RDS → Fineract), journey status table (Pass/Partial/Fail with root cause classification), and a prioritised action plan</w:t>
            </w:r>
          </w:p>
          <w:p>
            <w:pPr>
              <w:pStyle w:val="ListParagraph"/>
              <w:numPr>
                <w:ilvl w:val="0"/>
                <w:numId w:val="2"/>
              </w:numPr>
              <w:spacing w:after="40" w:before="0"/>
            </w:pPr>
            <w:r>
              <w:rPr>
                <w:rFonts w:ascii="Calibri" w:cs="Arial" w:eastAsia="Arial" w:hAnsi="Calibri"/>
                <w:b w:val="0"/>
                <w:i w:val="0"/>
                <w:color w:val="000000"/>
                <w:sz w:val="22"/>
                <w:szCs w:val="17"/>
              </w:rPr>
              <w:t xml:space="preserve">Identified and documented five critical gaps: missing device-to-product foreign keys, hardcoded WhatsApp product menus, absent manual KYC review UI, unconfirmed Fineract deployment on EC2, and absent digital distributor handover records</w:t>
            </w:r>
          </w:p>
          <w:p>
            <w:pPr>
              <w:spacing w:after="30" w:before="60"/>
            </w:pPr>
            <w:r>
              <w:rPr>
                <w:rFonts w:ascii="Calibri" w:cs="Arial" w:eastAsia="Arial" w:hAnsi="Calibri"/>
                <w:b w:val="0"/>
                <w:bCs/>
                <w:i w:val="0"/>
                <w:color w:val="000000"/>
                <w:sz w:val="22"/>
                <w:szCs w:val="17"/>
              </w:rPr>
              <w:t xml:space="preserve">Data Quality Analysis</w:t>
            </w:r>
          </w:p>
          <w:p>
            <w:pPr>
              <w:pStyle w:val="ListParagraph"/>
              <w:numPr>
                <w:ilvl w:val="0"/>
                <w:numId w:val="2"/>
              </w:numPr>
              <w:spacing w:after="40" w:before="0"/>
            </w:pPr>
            <w:r>
              <w:rPr>
                <w:rFonts w:ascii="Calibri" w:cs="Arial" w:eastAsia="Arial" w:hAnsi="Calibri"/>
                <w:b w:val="0"/>
                <w:i w:val="0"/>
                <w:color w:val="000000"/>
                <w:sz w:val="22"/>
                <w:szCs w:val="17"/>
              </w:rPr>
              <w:t xml:space="preserve">Audited RDS PostgreSQL schema against Fineract data model requirements; identified misaligned column types and missing relationship tables requiring migration before Fineract integration</w:t>
            </w:r>
          </w:p>
        </w:tc>
        <w:tc>
          <w:tcPr>
            <w:tcW w:type="dxa" w:w="3026"/>
            <w:tcBorders>
              <w:top w:val="single" w:sz="4"/>
              <w:left w:val="single" w:sz="4"/>
              <w:bottom w:val="single" w:sz="4"/>
              <w:right w:val="single" w:sz="4"/>
            </w:tcBorders>
            <w:tcMar>
              <w:top w:type="dxa" w:w="90"/>
              <w:left w:type="dxa" w:w="120"/>
              <w:bottom w:type="dxa" w:w="90"/>
              <w:right w:type="dxa" w:w="120"/>
            </w:tcMar>
          </w:tcPr>
          <w:p>
            <w:pPr>
              <w:pStyle w:val="ListParagraph"/>
              <w:numPr>
                <w:ilvl w:val="0"/>
                <w:numId w:val="2"/>
              </w:numPr>
              <w:spacing w:after="40" w:before="0"/>
            </w:pPr>
            <w:r>
              <w:rPr>
                <w:rFonts w:ascii="Calibri" w:cs="Arial" w:eastAsia="Arial" w:hAnsi="Calibri"/>
                <w:b w:val="0"/>
                <w:i w:val="0"/>
                <w:color w:val="000000"/>
                <w:sz w:val="22"/>
                <w:szCs w:val="17"/>
              </w:rPr>
              <w:t xml:space="preserve">Formal system audit methodology for production fintech applications</w:t>
            </w:r>
          </w:p>
          <w:p>
            <w:pPr>
              <w:pStyle w:val="ListParagraph"/>
              <w:numPr>
                <w:ilvl w:val="0"/>
                <w:numId w:val="2"/>
              </w:numPr>
              <w:spacing w:after="40" w:before="0"/>
            </w:pPr>
            <w:r>
              <w:rPr>
                <w:rFonts w:ascii="Calibri" w:cs="Arial" w:eastAsia="Arial" w:hAnsi="Calibri"/>
                <w:b w:val="0"/>
                <w:i w:val="0"/>
                <w:color w:val="000000"/>
                <w:sz w:val="22"/>
                <w:szCs w:val="17"/>
              </w:rPr>
              <w:t xml:space="preserve">Gap analysis and prioritisation frameworks (severity classification, root cause mapping)</w:t>
            </w:r>
          </w:p>
          <w:p>
            <w:pPr>
              <w:pStyle w:val="ListParagraph"/>
              <w:numPr>
                <w:ilvl w:val="0"/>
                <w:numId w:val="2"/>
              </w:numPr>
              <w:spacing w:after="40" w:before="0"/>
            </w:pPr>
            <w:r>
              <w:rPr>
                <w:rFonts w:ascii="Calibri" w:cs="Arial" w:eastAsia="Arial" w:hAnsi="Calibri"/>
                <w:b w:val="0"/>
                <w:i w:val="0"/>
                <w:color w:val="000000"/>
                <w:sz w:val="22"/>
                <w:szCs w:val="17"/>
              </w:rPr>
              <w:t xml:space="preserve">Data quality assessment and schema migration planning</w:t>
            </w:r>
          </w:p>
        </w:tc>
      </w:tr>
      <w:tr>
        <w:tc>
          <w:tcPr>
            <w:tcW w:type="dxa" w:w="1200"/>
            <w:tcBorders>
              <w:top w:val="single" w:sz="4"/>
              <w:left w:val="single" w:sz="4"/>
              <w:bottom w:val="single" w:sz="4"/>
              <w:right w:val="single" w:sz="4"/>
            </w:tcBorders>
            <w:tcMar>
              <w:top w:type="dxa" w:w="90"/>
              <w:left w:type="dxa" w:w="120"/>
              <w:bottom w:type="dxa" w:w="90"/>
              <w:right w:type="dxa" w:w="120"/>
            </w:tcMar>
            <w:vAlign w:val="center"/>
          </w:tcPr>
          <w:p>
            <w:pPr>
              <w:jc w:val="center"/>
            </w:pPr>
            <w:r>
              <w:rPr>
                <w:rFonts w:ascii="Calibri" w:cs="Arial" w:eastAsia="Arial" w:hAnsi="Calibri"/>
                <w:b w:val="0"/>
                <w:bCs/>
                <w:i w:val="0"/>
                <w:color w:val="000000"/>
                <w:sz w:val="22"/>
                <w:szCs w:val="17"/>
              </w:rPr>
              <w:t xml:space="preserve">17 Feb 2026</w:t>
            </w:r>
          </w:p>
        </w:tc>
        <w:tc>
          <w:tcPr>
            <w:tcW w:type="dxa" w:w="4800"/>
            <w:tcBorders>
              <w:top w:val="single" w:sz="4"/>
              <w:left w:val="single" w:sz="4"/>
              <w:bottom w:val="single" w:sz="4"/>
              <w:right w:val="single" w:sz="4"/>
            </w:tcBorders>
            <w:tcMar>
              <w:top w:type="dxa" w:w="90"/>
              <w:left w:type="dxa" w:w="120"/>
              <w:bottom w:type="dxa" w:w="90"/>
              <w:right w:type="dxa" w:w="120"/>
            </w:tcMar>
          </w:tcPr>
          <w:p>
            <w:pPr>
              <w:spacing w:after="30" w:before="60"/>
            </w:pPr>
            <w:r>
              <w:rPr>
                <w:rFonts w:ascii="Calibri" w:cs="Arial" w:eastAsia="Arial" w:hAnsi="Calibri"/>
                <w:b w:val="0"/>
                <w:bCs/>
                <w:i w:val="0"/>
                <w:color w:val="000000"/>
                <w:sz w:val="22"/>
                <w:szCs w:val="17"/>
              </w:rPr>
              <w:t xml:space="preserve">Portfolio Website Research &amp; Development Planning</w:t>
            </w:r>
          </w:p>
          <w:p>
            <w:pPr>
              <w:pStyle w:val="ListParagraph"/>
              <w:numPr>
                <w:ilvl w:val="0"/>
                <w:numId w:val="2"/>
              </w:numPr>
              <w:spacing w:after="40" w:before="0"/>
            </w:pPr>
            <w:r>
              <w:rPr>
                <w:rFonts w:ascii="Calibri" w:cs="Arial" w:eastAsia="Arial" w:hAnsi="Calibri"/>
                <w:b w:val="0"/>
                <w:i w:val="0"/>
                <w:color w:val="000000"/>
                <w:sz w:val="22"/>
                <w:szCs w:val="17"/>
              </w:rPr>
              <w:t xml:space="preserve">Conducted portfolio analysis of five leading ML/data science portfolios (Natassha Selvaraj, Tim Hopper, James Le, Anubhav Sharma, Ger Inberg) to inform personal professional portfolio design</w:t>
            </w:r>
          </w:p>
          <w:p>
            <w:pPr>
              <w:pStyle w:val="ListParagraph"/>
              <w:numPr>
                <w:ilvl w:val="0"/>
                <w:numId w:val="2"/>
              </w:numPr>
              <w:spacing w:after="40" w:before="0"/>
            </w:pPr>
            <w:r>
              <w:rPr>
                <w:rFonts w:ascii="Calibri" w:cs="Arial" w:eastAsia="Arial" w:hAnsi="Calibri"/>
                <w:b w:val="0"/>
                <w:i w:val="0"/>
                <w:color w:val="000000"/>
                <w:sz w:val="22"/>
                <w:szCs w:val="17"/>
              </w:rPr>
              <w:t xml:space="preserve">Synthesised 10 key design and content learnings; defined five target audience personas (technical recruiters, hiring managers, academic supervisors, peers, freelance clients) and mapped content strategy to each</w:t>
            </w:r>
          </w:p>
          <w:p>
            <w:pPr>
              <w:pStyle w:val="ListParagraph"/>
              <w:numPr>
                <w:ilvl w:val="0"/>
                <w:numId w:val="2"/>
              </w:numPr>
              <w:spacing w:after="40" w:before="0"/>
            </w:pPr>
            <w:r>
              <w:rPr>
                <w:rFonts w:ascii="Calibri" w:cs="Arial" w:eastAsia="Arial" w:hAnsi="Calibri"/>
                <w:b w:val="0"/>
                <w:i w:val="0"/>
                <w:color w:val="000000"/>
                <w:sz w:val="22"/>
                <w:szCs w:val="17"/>
              </w:rPr>
              <w:t xml:space="preserve">Documented UI recommendations: Bento Box grid layout, glassmorphism card styling, typography pairings (Sora, DM Sans, JetBrains Mono), and three colour palette options</w:t>
            </w:r>
          </w:p>
          <w:p>
            <w:pPr>
              <w:pStyle w:val="ListParagraph"/>
              <w:numPr>
                <w:ilvl w:val="0"/>
                <w:numId w:val="2"/>
              </w:numPr>
              <w:spacing w:after="40" w:before="0"/>
            </w:pPr>
            <w:r>
              <w:rPr>
                <w:rFonts w:ascii="Calibri" w:cs="Arial" w:eastAsia="Arial" w:hAnsi="Calibri"/>
                <w:b w:val="0"/>
                <w:i w:val="0"/>
                <w:color w:val="000000"/>
                <w:sz w:val="22"/>
                <w:szCs w:val="17"/>
              </w:rPr>
              <w:t xml:space="preserve">Designed a four-phase incremental build strategy using Next.js 14, Tailwind CSS, and Framer Motion for the portfolio implementation</w:t>
            </w:r>
          </w:p>
          <w:p>
            <w:pPr>
              <w:spacing w:after="30" w:before="60"/>
            </w:pPr>
            <w:r>
              <w:rPr>
                <w:rFonts w:ascii="Calibri" w:cs="Arial" w:eastAsia="Arial" w:hAnsi="Calibri"/>
                <w:b w:val="0"/>
                <w:bCs/>
                <w:i w:val="0"/>
                <w:color w:val="000000"/>
                <w:sz w:val="22"/>
                <w:szCs w:val="17"/>
              </w:rPr>
              <w:t xml:space="preserve">Data Science Competency Development</w:t>
            </w:r>
          </w:p>
          <w:p>
            <w:pPr>
              <w:pStyle w:val="ListParagraph"/>
              <w:numPr>
                <w:ilvl w:val="0"/>
                <w:numId w:val="2"/>
              </w:numPr>
              <w:spacing w:after="40" w:before="0"/>
            </w:pPr>
            <w:r>
              <w:rPr>
                <w:rFonts w:ascii="Calibri" w:cs="Arial" w:eastAsia="Arial" w:hAnsi="Calibri"/>
                <w:b w:val="0"/>
                <w:i w:val="0"/>
                <w:color w:val="000000"/>
                <w:sz w:val="22"/>
                <w:szCs w:val="17"/>
              </w:rPr>
              <w:t xml:space="preserve">Reviewed 2025 data science and ML portfolio best practices; identified project case study structure, interactive data visualisation, and GitHub integration as key differentiators</w:t>
            </w:r>
          </w:p>
        </w:tc>
        <w:tc>
          <w:tcPr>
            <w:tcW w:type="dxa" w:w="3026"/>
            <w:tcBorders>
              <w:top w:val="single" w:sz="4"/>
              <w:left w:val="single" w:sz="4"/>
              <w:bottom w:val="single" w:sz="4"/>
              <w:right w:val="single" w:sz="4"/>
            </w:tcBorders>
            <w:tcMar>
              <w:top w:type="dxa" w:w="90"/>
              <w:left w:type="dxa" w:w="120"/>
              <w:bottom w:type="dxa" w:w="90"/>
              <w:right w:type="dxa" w:w="120"/>
            </w:tcMar>
          </w:tcPr>
          <w:p>
            <w:pPr>
              <w:pStyle w:val="ListParagraph"/>
              <w:numPr>
                <w:ilvl w:val="0"/>
                <w:numId w:val="2"/>
              </w:numPr>
              <w:spacing w:after="40" w:before="0"/>
            </w:pPr>
            <w:r>
              <w:rPr>
                <w:rFonts w:ascii="Calibri" w:cs="Arial" w:eastAsia="Arial" w:hAnsi="Calibri"/>
                <w:b w:val="0"/>
                <w:i w:val="0"/>
                <w:color w:val="000000"/>
                <w:sz w:val="22"/>
                <w:szCs w:val="17"/>
              </w:rPr>
              <w:t xml:space="preserve">UX research methodology (portfolio analysis, persona mapping, heuristic evaluation)</w:t>
            </w:r>
          </w:p>
          <w:p>
            <w:pPr>
              <w:pStyle w:val="ListParagraph"/>
              <w:numPr>
                <w:ilvl w:val="0"/>
                <w:numId w:val="2"/>
              </w:numPr>
              <w:spacing w:after="40" w:before="0"/>
            </w:pPr>
            <w:r>
              <w:rPr>
                <w:rFonts w:ascii="Calibri" w:cs="Arial" w:eastAsia="Arial" w:hAnsi="Calibri"/>
                <w:b w:val="0"/>
                <w:i w:val="0"/>
                <w:color w:val="000000"/>
                <w:sz w:val="22"/>
                <w:szCs w:val="17"/>
              </w:rPr>
              <w:t xml:space="preserve">Modern frontend design systems (Next.js 14, Tailwind CSS, Framer Motion)</w:t>
            </w:r>
          </w:p>
          <w:p>
            <w:pPr>
              <w:pStyle w:val="ListParagraph"/>
              <w:numPr>
                <w:ilvl w:val="0"/>
                <w:numId w:val="2"/>
              </w:numPr>
              <w:spacing w:after="40" w:before="0"/>
            </w:pPr>
            <w:r>
              <w:rPr>
                <w:rFonts w:ascii="Calibri" w:cs="Arial" w:eastAsia="Arial" w:hAnsi="Calibri"/>
                <w:b w:val="0"/>
                <w:i w:val="0"/>
                <w:color w:val="000000"/>
                <w:sz w:val="22"/>
                <w:szCs w:val="17"/>
              </w:rPr>
              <w:t xml:space="preserve">Professional branding and technical communication for data science roles</w:t>
            </w:r>
          </w:p>
        </w:tc>
      </w:tr>
      <w:tr>
        <w:tc>
          <w:tcPr>
            <w:tcW w:type="dxa" w:w="1200"/>
            <w:tcBorders>
              <w:top w:val="single" w:sz="4"/>
              <w:left w:val="single" w:sz="4"/>
              <w:bottom w:val="single" w:sz="4"/>
              <w:right w:val="single" w:sz="4"/>
            </w:tcBorders>
            <w:tcMar>
              <w:top w:type="dxa" w:w="90"/>
              <w:left w:type="dxa" w:w="120"/>
              <w:bottom w:type="dxa" w:w="90"/>
              <w:right w:type="dxa" w:w="120"/>
            </w:tcMar>
            <w:vAlign w:val="center"/>
          </w:tcPr>
          <w:p>
            <w:pPr>
              <w:jc w:val="center"/>
            </w:pPr>
            <w:r>
              <w:rPr>
                <w:rFonts w:ascii="Calibri" w:cs="Arial" w:eastAsia="Arial" w:hAnsi="Calibri"/>
                <w:b w:val="0"/>
                <w:bCs/>
                <w:i w:val="0"/>
                <w:color w:val="000000"/>
                <w:sz w:val="22"/>
                <w:szCs w:val="17"/>
              </w:rPr>
              <w:t xml:space="preserve">24 Feb 2026</w:t>
            </w:r>
          </w:p>
        </w:tc>
        <w:tc>
          <w:tcPr>
            <w:tcW w:type="dxa" w:w="4800"/>
            <w:tcBorders>
              <w:top w:val="single" w:sz="4"/>
              <w:left w:val="single" w:sz="4"/>
              <w:bottom w:val="single" w:sz="4"/>
              <w:right w:val="single" w:sz="4"/>
            </w:tcBorders>
            <w:tcMar>
              <w:top w:type="dxa" w:w="90"/>
              <w:left w:type="dxa" w:w="120"/>
              <w:bottom w:type="dxa" w:w="90"/>
              <w:right w:type="dxa" w:w="120"/>
            </w:tcMar>
          </w:tcPr>
          <w:p>
            <w:pPr>
              <w:spacing w:after="30" w:before="60"/>
            </w:pPr>
            <w:r>
              <w:rPr>
                <w:rFonts w:ascii="Calibri" w:cs="Arial" w:eastAsia="Arial" w:hAnsi="Calibri"/>
                <w:b w:val="0"/>
                <w:bCs/>
                <w:i w:val="0"/>
                <w:color w:val="000000"/>
                <w:sz w:val="22"/>
                <w:szCs w:val="17"/>
              </w:rPr>
              <w:t xml:space="preserve">Excel Data Analysis Tools</w:t>
            </w:r>
          </w:p>
          <w:p>
            <w:pPr>
              <w:pStyle w:val="ListParagraph"/>
              <w:numPr>
                <w:ilvl w:val="0"/>
                <w:numId w:val="2"/>
              </w:numPr>
              <w:spacing w:after="40" w:before="0"/>
            </w:pPr>
            <w:r>
              <w:rPr>
                <w:rFonts w:ascii="Calibri" w:cs="Arial" w:eastAsia="Arial" w:hAnsi="Calibri"/>
                <w:b w:val="0"/>
                <w:i w:val="0"/>
                <w:color w:val="000000"/>
                <w:sz w:val="22"/>
                <w:szCs w:val="17"/>
              </w:rPr>
              <w:t xml:space="preserve">Implemented Excel Data Validation with Named Ranges for structured data entry across Lynia Finance financial model input sheets; designed dependent dropdown menus using the INDIRECT() function for scenario selector controls</w:t>
            </w:r>
          </w:p>
          <w:p>
            <w:pPr>
              <w:pStyle w:val="ListParagraph"/>
              <w:numPr>
                <w:ilvl w:val="0"/>
                <w:numId w:val="2"/>
              </w:numPr>
              <w:spacing w:after="40" w:before="0"/>
            </w:pPr>
            <w:r>
              <w:rPr>
                <w:rFonts w:ascii="Calibri" w:cs="Arial" w:eastAsia="Arial" w:hAnsi="Calibri"/>
                <w:b w:val="0"/>
                <w:i w:val="0"/>
                <w:color w:val="000000"/>
                <w:sz w:val="22"/>
                <w:szCs w:val="17"/>
              </w:rPr>
              <w:t xml:space="preserve">Documented dropdown implementation methodology with Input Message and Error Alert configurations to support non-technical staff data entry into the financial model</w:t>
            </w:r>
          </w:p>
          <w:p>
            <w:pPr>
              <w:spacing w:after="30" w:before="60"/>
            </w:pPr>
            <w:r>
              <w:rPr>
                <w:rFonts w:ascii="Calibri" w:cs="Arial" w:eastAsia="Arial" w:hAnsi="Calibri"/>
                <w:b w:val="0"/>
                <w:bCs/>
                <w:i w:val="0"/>
                <w:color w:val="000000"/>
                <w:sz w:val="22"/>
                <w:szCs w:val="17"/>
              </w:rPr>
              <w:t xml:space="preserve">Ride-Hailing Market Research</w:t>
            </w:r>
          </w:p>
          <w:p>
            <w:pPr>
              <w:pStyle w:val="ListParagraph"/>
              <w:numPr>
                <w:ilvl w:val="0"/>
                <w:numId w:val="2"/>
              </w:numPr>
              <w:spacing w:after="40" w:before="0"/>
            </w:pPr>
            <w:r>
              <w:rPr>
                <w:rFonts w:ascii="Calibri" w:cs="Arial" w:eastAsia="Arial" w:hAnsi="Calibri"/>
                <w:b w:val="0"/>
                <w:i w:val="0"/>
                <w:color w:val="000000"/>
                <w:sz w:val="22"/>
                <w:szCs w:val="17"/>
              </w:rPr>
              <w:t xml:space="preserve">Researched InDrive and Bolt driver populations in Botswana and Zambia as part of Lynia's geographic expansion analysis: InDrive entered Botswana in 2019 (market leader); Bolt launched February 2024 with 100 pilot drivers; Bolt piloted Zambia in October 2023 (1,000+ drivers at launch); InDrive entered Zambia October 2024</w:t>
            </w:r>
          </w:p>
          <w:p>
            <w:pPr>
              <w:pStyle w:val="ListParagraph"/>
              <w:numPr>
                <w:ilvl w:val="0"/>
                <w:numId w:val="2"/>
              </w:numPr>
              <w:spacing w:after="40" w:before="0"/>
            </w:pPr>
            <w:r>
              <w:rPr>
                <w:rFonts w:ascii="Calibri" w:cs="Arial" w:eastAsia="Arial" w:hAnsi="Calibri"/>
                <w:b w:val="0"/>
                <w:i w:val="0"/>
                <w:color w:val="000000"/>
                <w:sz w:val="22"/>
                <w:szCs w:val="17"/>
              </w:rPr>
              <w:t xml:space="preserve">Recommended TAM estimation methodology using city population × ride-hailing penetration rate as an alternative to unavailable official driver count data</w:t>
            </w:r>
          </w:p>
        </w:tc>
        <w:tc>
          <w:tcPr>
            <w:tcW w:type="dxa" w:w="3026"/>
            <w:tcBorders>
              <w:top w:val="single" w:sz="4"/>
              <w:left w:val="single" w:sz="4"/>
              <w:bottom w:val="single" w:sz="4"/>
              <w:right w:val="single" w:sz="4"/>
            </w:tcBorders>
            <w:tcMar>
              <w:top w:type="dxa" w:w="90"/>
              <w:left w:type="dxa" w:w="120"/>
              <w:bottom w:type="dxa" w:w="90"/>
              <w:right w:type="dxa" w:w="120"/>
            </w:tcMar>
          </w:tcPr>
          <w:p>
            <w:pPr>
              <w:pStyle w:val="ListParagraph"/>
              <w:numPr>
                <w:ilvl w:val="0"/>
                <w:numId w:val="2"/>
              </w:numPr>
              <w:spacing w:after="40" w:before="0"/>
            </w:pPr>
            <w:r>
              <w:rPr>
                <w:rFonts w:ascii="Calibri" w:cs="Arial" w:eastAsia="Arial" w:hAnsi="Calibri"/>
                <w:b w:val="0"/>
                <w:i w:val="0"/>
                <w:color w:val="000000"/>
                <w:sz w:val="22"/>
                <w:szCs w:val="17"/>
              </w:rPr>
              <w:t xml:space="preserve">Advanced Excel data validation and dynamic form design</w:t>
            </w:r>
          </w:p>
          <w:p>
            <w:pPr>
              <w:pStyle w:val="ListParagraph"/>
              <w:numPr>
                <w:ilvl w:val="0"/>
                <w:numId w:val="2"/>
              </w:numPr>
              <w:spacing w:after="40" w:before="0"/>
            </w:pPr>
            <w:r>
              <w:rPr>
                <w:rFonts w:ascii="Calibri" w:cs="Arial" w:eastAsia="Arial" w:hAnsi="Calibri"/>
                <w:b w:val="0"/>
                <w:i w:val="0"/>
                <w:color w:val="000000"/>
                <w:sz w:val="22"/>
                <w:szCs w:val="17"/>
              </w:rPr>
              <w:t xml:space="preserve">Geographic market expansion research methodology</w:t>
            </w:r>
          </w:p>
          <w:p>
            <w:pPr>
              <w:pStyle w:val="ListParagraph"/>
              <w:numPr>
                <w:ilvl w:val="0"/>
                <w:numId w:val="2"/>
              </w:numPr>
              <w:spacing w:after="40" w:before="0"/>
            </w:pPr>
            <w:r>
              <w:rPr>
                <w:rFonts w:ascii="Calibri" w:cs="Arial" w:eastAsia="Arial" w:hAnsi="Calibri"/>
                <w:b w:val="0"/>
                <w:i w:val="0"/>
                <w:color w:val="000000"/>
                <w:sz w:val="22"/>
                <w:szCs w:val="17"/>
              </w:rPr>
              <w:t xml:space="preserve">Primary market sizing from proxy indicators in data-scarce environments</w:t>
            </w:r>
          </w:p>
        </w:tc>
      </w:tr>
      <w:tr>
        <w:tc>
          <w:tcPr>
            <w:tcW w:type="dxa" w:w="1200"/>
            <w:tcBorders>
              <w:top w:val="single" w:sz="4"/>
              <w:left w:val="single" w:sz="4"/>
              <w:bottom w:val="single" w:sz="4"/>
              <w:right w:val="single" w:sz="4"/>
            </w:tcBorders>
            <w:tcMar>
              <w:top w:type="dxa" w:w="90"/>
              <w:left w:type="dxa" w:w="120"/>
              <w:bottom w:type="dxa" w:w="90"/>
              <w:right w:type="dxa" w:w="120"/>
            </w:tcMar>
            <w:vAlign w:val="center"/>
          </w:tcPr>
          <w:p>
            <w:pPr>
              <w:jc w:val="center"/>
            </w:pPr>
            <w:r>
              <w:rPr>
                <w:rFonts w:ascii="Calibri" w:cs="Arial" w:eastAsia="Arial" w:hAnsi="Calibri"/>
                <w:b w:val="0"/>
                <w:bCs/>
                <w:i w:val="0"/>
                <w:color w:val="000000"/>
                <w:sz w:val="22"/>
                <w:szCs w:val="17"/>
              </w:rPr>
              <w:t xml:space="preserve">3 Mar 2026</w:t>
            </w:r>
          </w:p>
        </w:tc>
        <w:tc>
          <w:tcPr>
            <w:tcW w:type="dxa" w:w="4800"/>
            <w:tcBorders>
              <w:top w:val="single" w:sz="4"/>
              <w:left w:val="single" w:sz="4"/>
              <w:bottom w:val="single" w:sz="4"/>
              <w:right w:val="single" w:sz="4"/>
            </w:tcBorders>
            <w:tcMar>
              <w:top w:type="dxa" w:w="90"/>
              <w:left w:type="dxa" w:w="120"/>
              <w:bottom w:type="dxa" w:w="90"/>
              <w:right w:type="dxa" w:w="120"/>
            </w:tcMar>
          </w:tcPr>
          <w:p>
            <w:pPr>
              <w:spacing w:after="30" w:before="60"/>
            </w:pPr>
            <w:r>
              <w:rPr>
                <w:rFonts w:ascii="Calibri" w:cs="Arial" w:eastAsia="Arial" w:hAnsi="Calibri"/>
                <w:b w:val="0"/>
                <w:bCs/>
                <w:i w:val="0"/>
                <w:color w:val="000000"/>
                <w:sz w:val="22"/>
                <w:szCs w:val="17"/>
              </w:rPr>
              <w:t xml:space="preserve">Ride-Hailing Driver Lending Financial Model</w:t>
            </w:r>
          </w:p>
          <w:p>
            <w:pPr>
              <w:pStyle w:val="ListParagraph"/>
              <w:numPr>
                <w:ilvl w:val="0"/>
                <w:numId w:val="2"/>
              </w:numPr>
              <w:spacing w:after="40" w:before="0"/>
            </w:pPr>
            <w:r>
              <w:rPr>
                <w:rFonts w:ascii="Calibri" w:cs="Arial" w:eastAsia="Arial" w:hAnsi="Calibri"/>
                <w:b w:val="0"/>
                <w:i w:val="0"/>
                <w:color w:val="000000"/>
                <w:sz w:val="22"/>
                <w:szCs w:val="17"/>
              </w:rPr>
              <w:t xml:space="preserve">Built a comprehensive ride-hailing driver lending model adapted from the civil servant template, with sector-specific assumptions for InDrive and Bolt drivers in Zimbabwe</w:t>
            </w:r>
          </w:p>
          <w:p>
            <w:pPr>
              <w:pStyle w:val="ListParagraph"/>
              <w:numPr>
                <w:ilvl w:val="0"/>
                <w:numId w:val="2"/>
              </w:numPr>
              <w:spacing w:after="40" w:before="0"/>
            </w:pPr>
            <w:r>
              <w:rPr>
                <w:rFonts w:ascii="Calibri" w:cs="Arial" w:eastAsia="Arial" w:hAnsi="Calibri"/>
                <w:b w:val="0"/>
                <w:i w:val="0"/>
                <w:color w:val="000000"/>
                <w:sz w:val="22"/>
                <w:szCs w:val="17"/>
              </w:rPr>
              <w:t xml:space="preserve">Derived Zimbabwe driver count using a revenue-based methodology: Statista $5.36M 2024 market revenue ÷ $13,500 annual gross per full-time driver × 60% utilisation = ~660 drivers in 2024, growing to 1,395 by 2026E</w:t>
            </w:r>
          </w:p>
          <w:p>
            <w:pPr>
              <w:pStyle w:val="ListParagraph"/>
              <w:numPr>
                <w:ilvl w:val="0"/>
                <w:numId w:val="2"/>
              </w:numPr>
              <w:spacing w:after="40" w:before="0"/>
            </w:pPr>
            <w:r>
              <w:rPr>
                <w:rFonts w:ascii="Calibri" w:cs="Arial" w:eastAsia="Arial" w:hAnsi="Calibri"/>
                <w:b w:val="0"/>
                <w:i w:val="0"/>
                <w:color w:val="000000"/>
                <w:sz w:val="22"/>
                <w:szCs w:val="17"/>
              </w:rPr>
              <w:t xml:space="preserve">Set blended default rate at 15% (vs. ~4% for civil servants) reflecting informal sector credit risk, partially mitigated by InDrive/Bolt platform earnings deduction as a collections mechanism</w:t>
            </w:r>
          </w:p>
          <w:p>
            <w:pPr>
              <w:pStyle w:val="ListParagraph"/>
              <w:numPr>
                <w:ilvl w:val="0"/>
                <w:numId w:val="2"/>
              </w:numPr>
              <w:spacing w:after="40" w:before="0"/>
            </w:pPr>
            <w:r>
              <w:rPr>
                <w:rFonts w:ascii="Calibri" w:cs="Arial" w:eastAsia="Arial" w:hAnsi="Calibri"/>
                <w:b w:val="0"/>
                <w:i w:val="0"/>
                <w:color w:val="000000"/>
                <w:sz w:val="22"/>
                <w:szCs w:val="17"/>
              </w:rPr>
              <w:t xml:space="preserve">Converted interest rate structure from monthly to weekly equivalents: 9%/mo → 2.08%/wk, 12%/mo → 2.77%/wk, 15%/mo → 3.46%/wk; cost of capital at 1.62%/wk (7%/mo wholesale benchmark)</w:t>
            </w:r>
          </w:p>
          <w:p>
            <w:pPr>
              <w:spacing w:after="30" w:before="60"/>
            </w:pPr>
            <w:r>
              <w:rPr>
                <w:rFonts w:ascii="Calibri" w:cs="Arial" w:eastAsia="Arial" w:hAnsi="Calibri"/>
                <w:b w:val="0"/>
                <w:bCs/>
                <w:i w:val="0"/>
                <w:color w:val="000000"/>
                <w:sz w:val="22"/>
                <w:szCs w:val="17"/>
              </w:rPr>
              <w:t xml:space="preserve">Unit Economics Analysis</w:t>
            </w:r>
          </w:p>
          <w:p>
            <w:pPr>
              <w:pStyle w:val="ListParagraph"/>
              <w:numPr>
                <w:ilvl w:val="0"/>
                <w:numId w:val="2"/>
              </w:numPr>
              <w:spacing w:after="40" w:before="0"/>
            </w:pPr>
            <w:r>
              <w:rPr>
                <w:rFonts w:ascii="Calibri" w:cs="Arial" w:eastAsia="Arial" w:hAnsi="Calibri"/>
                <w:b w:val="0"/>
                <w:i w:val="0"/>
                <w:color w:val="000000"/>
                <w:sz w:val="22"/>
                <w:szCs w:val="17"/>
              </w:rPr>
              <w:t xml:space="preserve">Identified negative unit economics at all rate scenarios on a 4-week term: cost of capital ($6.48) + credit losses ($9.00) exceed interest revenue at conservative and mid rates — documented as a structural product design constraint requiring term extension</w:t>
            </w:r>
          </w:p>
          <w:p>
            <w:pPr>
              <w:pStyle w:val="ListParagraph"/>
              <w:numPr>
                <w:ilvl w:val="0"/>
                <w:numId w:val="2"/>
              </w:numPr>
              <w:spacing w:after="40" w:before="0"/>
            </w:pPr>
            <w:r>
              <w:rPr>
                <w:rFonts w:ascii="Calibri" w:cs="Arial" w:eastAsia="Arial" w:hAnsi="Calibri"/>
                <w:b w:val="0"/>
                <w:i w:val="0"/>
                <w:color w:val="000000"/>
                <w:sz w:val="22"/>
                <w:szCs w:val="17"/>
              </w:rPr>
              <w:t xml:space="preserve">Applied InDrive Money benchmark: 100,000+ loans, 57% repeat borrower rate — cited as evidence of informal sector lending viability at scale</w:t>
            </w:r>
          </w:p>
        </w:tc>
        <w:tc>
          <w:tcPr>
            <w:tcW w:type="dxa" w:w="3026"/>
            <w:tcBorders>
              <w:top w:val="single" w:sz="4"/>
              <w:left w:val="single" w:sz="4"/>
              <w:bottom w:val="single" w:sz="4"/>
              <w:right w:val="single" w:sz="4"/>
            </w:tcBorders>
            <w:tcMar>
              <w:top w:type="dxa" w:w="90"/>
              <w:left w:type="dxa" w:w="120"/>
              <w:bottom w:type="dxa" w:w="90"/>
              <w:right w:type="dxa" w:w="120"/>
            </w:tcMar>
          </w:tcPr>
          <w:p>
            <w:pPr>
              <w:pStyle w:val="ListParagraph"/>
              <w:numPr>
                <w:ilvl w:val="0"/>
                <w:numId w:val="2"/>
              </w:numPr>
              <w:spacing w:after="40" w:before="0"/>
            </w:pPr>
            <w:r>
              <w:rPr>
                <w:rFonts w:ascii="Calibri" w:cs="Arial" w:eastAsia="Arial" w:hAnsi="Calibri"/>
                <w:b w:val="0"/>
                <w:i w:val="0"/>
                <w:color w:val="000000"/>
                <w:sz w:val="22"/>
                <w:szCs w:val="17"/>
              </w:rPr>
              <w:t xml:space="preserve">Informal sector financial modelling with alternative risk mitigation structures</w:t>
            </w:r>
          </w:p>
          <w:p>
            <w:pPr>
              <w:pStyle w:val="ListParagraph"/>
              <w:numPr>
                <w:ilvl w:val="0"/>
                <w:numId w:val="2"/>
              </w:numPr>
              <w:spacing w:after="40" w:before="0"/>
            </w:pPr>
            <w:r>
              <w:rPr>
                <w:rFonts w:ascii="Calibri" w:cs="Arial" w:eastAsia="Arial" w:hAnsi="Calibri"/>
                <w:b w:val="0"/>
                <w:i w:val="0"/>
                <w:color w:val="000000"/>
                <w:sz w:val="22"/>
                <w:szCs w:val="17"/>
              </w:rPr>
              <w:t xml:space="preserve">Revenue-based market sizing from proxy economic data</w:t>
            </w:r>
          </w:p>
          <w:p>
            <w:pPr>
              <w:pStyle w:val="ListParagraph"/>
              <w:numPr>
                <w:ilvl w:val="0"/>
                <w:numId w:val="2"/>
              </w:numPr>
              <w:spacing w:after="40" w:before="0"/>
            </w:pPr>
            <w:r>
              <w:rPr>
                <w:rFonts w:ascii="Calibri" w:cs="Arial" w:eastAsia="Arial" w:hAnsi="Calibri"/>
                <w:b w:val="0"/>
                <w:i w:val="0"/>
                <w:color w:val="000000"/>
                <w:sz w:val="22"/>
                <w:szCs w:val="17"/>
              </w:rPr>
              <w:t xml:space="preserve">Unit economics analysis and break-even product design constraints</w:t>
            </w:r>
          </w:p>
        </w:tc>
      </w:tr>
      <w:tr>
        <w:tc>
          <w:tcPr>
            <w:tcW w:type="dxa" w:w="1200"/>
            <w:tcBorders>
              <w:top w:val="single" w:sz="4"/>
              <w:left w:val="single" w:sz="4"/>
              <w:bottom w:val="single" w:sz="4"/>
              <w:right w:val="single" w:sz="4"/>
            </w:tcBorders>
            <w:tcMar>
              <w:top w:type="dxa" w:w="90"/>
              <w:left w:type="dxa" w:w="120"/>
              <w:bottom w:type="dxa" w:w="90"/>
              <w:right w:type="dxa" w:w="120"/>
            </w:tcMar>
            <w:vAlign w:val="center"/>
          </w:tcPr>
          <w:p>
            <w:pPr>
              <w:jc w:val="center"/>
            </w:pPr>
            <w:r>
              <w:rPr>
                <w:rFonts w:ascii="Calibri" w:cs="Arial" w:eastAsia="Arial" w:hAnsi="Calibri"/>
                <w:b w:val="0"/>
                <w:bCs/>
                <w:i w:val="0"/>
                <w:color w:val="000000"/>
                <w:sz w:val="22"/>
                <w:szCs w:val="17"/>
              </w:rPr>
              <w:t xml:space="preserve">10 Mar 2026</w:t>
            </w:r>
          </w:p>
        </w:tc>
        <w:tc>
          <w:tcPr>
            <w:tcW w:type="dxa" w:w="4800"/>
            <w:tcBorders>
              <w:top w:val="single" w:sz="4"/>
              <w:left w:val="single" w:sz="4"/>
              <w:bottom w:val="single" w:sz="4"/>
              <w:right w:val="single" w:sz="4"/>
            </w:tcBorders>
            <w:tcMar>
              <w:top w:type="dxa" w:w="90"/>
              <w:left w:type="dxa" w:w="120"/>
              <w:bottom w:type="dxa" w:w="90"/>
              <w:right w:type="dxa" w:w="120"/>
            </w:tcMar>
          </w:tcPr>
          <w:p>
            <w:pPr>
              <w:spacing w:after="30" w:before="60"/>
            </w:pPr>
            <w:r>
              <w:rPr>
                <w:rFonts w:ascii="Calibri" w:cs="Arial" w:eastAsia="Arial" w:hAnsi="Calibri"/>
                <w:b w:val="0"/>
                <w:bCs/>
                <w:i w:val="0"/>
                <w:color w:val="000000"/>
                <w:sz w:val="22"/>
                <w:szCs w:val="17"/>
              </w:rPr>
              <w:t xml:space="preserve">Competitive Rate Benchmarking</w:t>
            </w:r>
          </w:p>
          <w:p>
            <w:pPr>
              <w:pStyle w:val="ListParagraph"/>
              <w:numPr>
                <w:ilvl w:val="0"/>
                <w:numId w:val="2"/>
              </w:numPr>
              <w:spacing w:after="40" w:before="0"/>
            </w:pPr>
            <w:r>
              <w:rPr>
                <w:rFonts w:ascii="Calibri" w:cs="Arial" w:eastAsia="Arial" w:hAnsi="Calibri"/>
                <w:b w:val="0"/>
                <w:i w:val="0"/>
                <w:color w:val="000000"/>
                <w:sz w:val="22"/>
                <w:szCs w:val="17"/>
              </w:rPr>
              <w:t xml:space="preserve">Researched and compiled a competitive interest rate comparison across Zimbabwe's microloan market: ZimLoan (20–30% flat, 14–30 days), Kashagi/EcoCash-Steward Bank (15–25% flat fee, 30-day nano loans), InnBucks MicroBank (2.5–10%/mo salary-based, up to 24 months)</w:t>
            </w:r>
          </w:p>
          <w:p>
            <w:pPr>
              <w:pStyle w:val="ListParagraph"/>
              <w:numPr>
                <w:ilvl w:val="0"/>
                <w:numId w:val="2"/>
              </w:numPr>
              <w:spacing w:after="40" w:before="0"/>
            </w:pPr>
            <w:r>
              <w:rPr>
                <w:rFonts w:ascii="Calibri" w:cs="Arial" w:eastAsia="Arial" w:hAnsi="Calibri"/>
                <w:b w:val="0"/>
                <w:i w:val="0"/>
                <w:color w:val="000000"/>
                <w:sz w:val="22"/>
                <w:szCs w:val="17"/>
              </w:rPr>
              <w:t xml:space="preserve">Identified InnBucks MicroBank's dual product structure (salary-based vs. digital wallet loans) as most directly comparable to Lynia's civil servant and informal sector product lines</w:t>
            </w:r>
          </w:p>
          <w:p>
            <w:pPr>
              <w:pStyle w:val="ListParagraph"/>
              <w:numPr>
                <w:ilvl w:val="0"/>
                <w:numId w:val="2"/>
              </w:numPr>
              <w:spacing w:after="40" w:before="0"/>
            </w:pPr>
            <w:r>
              <w:rPr>
                <w:rFonts w:ascii="Calibri" w:cs="Arial" w:eastAsia="Arial" w:hAnsi="Calibri"/>
                <w:b w:val="0"/>
                <w:i w:val="0"/>
                <w:color w:val="000000"/>
                <w:sz w:val="22"/>
                <w:szCs w:val="17"/>
              </w:rPr>
              <w:t xml:space="preserve">Positioned Lynia's rate assumptions relative to competitors to validate investor-facing pricing narrative</w:t>
            </w:r>
          </w:p>
          <w:p>
            <w:pPr>
              <w:spacing w:after="30" w:before="60"/>
            </w:pPr>
            <w:r>
              <w:rPr>
                <w:rFonts w:ascii="Calibri" w:cs="Arial" w:eastAsia="Arial" w:hAnsi="Calibri"/>
                <w:b w:val="0"/>
                <w:bCs/>
                <w:i w:val="0"/>
                <w:color w:val="000000"/>
                <w:sz w:val="22"/>
                <w:szCs w:val="17"/>
              </w:rPr>
              <w:t xml:space="preserve">Device Price Data Analysis</w:t>
            </w:r>
          </w:p>
          <w:p>
            <w:pPr>
              <w:pStyle w:val="ListParagraph"/>
              <w:numPr>
                <w:ilvl w:val="0"/>
                <w:numId w:val="2"/>
              </w:numPr>
              <w:spacing w:after="40" w:before="0"/>
            </w:pPr>
            <w:r>
              <w:rPr>
                <w:rFonts w:ascii="Calibri" w:cs="Arial" w:eastAsia="Arial" w:hAnsi="Calibri"/>
                <w:b w:val="0"/>
                <w:i w:val="0"/>
                <w:color w:val="000000"/>
                <w:sz w:val="22"/>
                <w:szCs w:val="17"/>
              </w:rPr>
              <w:t xml:space="preserve">Built a multi-source smartphone price comparison dataset across FoneYam (South Africa), Techzim (Zimbabwe), and Takealot (South Africa) for 10 phone models and 19 spec variants</w:t>
            </w:r>
          </w:p>
          <w:p>
            <w:pPr>
              <w:pStyle w:val="ListParagraph"/>
              <w:numPr>
                <w:ilvl w:val="0"/>
                <w:numId w:val="2"/>
              </w:numPr>
              <w:spacing w:after="40" w:before="0"/>
            </w:pPr>
            <w:r>
              <w:rPr>
                <w:rFonts w:ascii="Calibri" w:cs="Arial" w:eastAsia="Arial" w:hAnsi="Calibri"/>
                <w:b w:val="0"/>
                <w:i w:val="0"/>
                <w:color w:val="000000"/>
                <w:sz w:val="22"/>
                <w:szCs w:val="17"/>
              </w:rPr>
              <w:t xml:space="preserve">Integrated Takealot REST API (api.takealot.com) for programmatic price retrieval; applied ZAR-to-USD conversion at 18.50; calculated FoneYam effective cost at ~185% of retail (30% upfront + Day-7 payment + 12 monthly instalments) confirming in duplum proximity</w:t>
            </w:r>
          </w:p>
          <w:p>
            <w:pPr>
              <w:pStyle w:val="ListParagraph"/>
              <w:numPr>
                <w:ilvl w:val="0"/>
                <w:numId w:val="2"/>
              </w:numPr>
              <w:spacing w:after="40" w:before="0"/>
            </w:pPr>
            <w:r>
              <w:rPr>
                <w:rFonts w:ascii="Calibri" w:cs="Arial" w:eastAsia="Arial" w:hAnsi="Calibri"/>
                <w:b w:val="0"/>
                <w:i w:val="0"/>
                <w:color w:val="000000"/>
                <w:sz w:val="22"/>
                <w:szCs w:val="17"/>
              </w:rPr>
              <w:t xml:space="preserve">Produced structured Excel output with Network (4G/5G), Chipset, Display, Camera, Battery columns and a color-coded 'Cheapest Source' column</w:t>
            </w:r>
          </w:p>
        </w:tc>
        <w:tc>
          <w:tcPr>
            <w:tcW w:type="dxa" w:w="3026"/>
            <w:tcBorders>
              <w:top w:val="single" w:sz="4"/>
              <w:left w:val="single" w:sz="4"/>
              <w:bottom w:val="single" w:sz="4"/>
              <w:right w:val="single" w:sz="4"/>
            </w:tcBorders>
            <w:tcMar>
              <w:top w:type="dxa" w:w="90"/>
              <w:left w:type="dxa" w:w="120"/>
              <w:bottom w:type="dxa" w:w="90"/>
              <w:right w:type="dxa" w:w="120"/>
            </w:tcMar>
          </w:tcPr>
          <w:p>
            <w:pPr>
              <w:pStyle w:val="ListParagraph"/>
              <w:numPr>
                <w:ilvl w:val="0"/>
                <w:numId w:val="2"/>
              </w:numPr>
              <w:spacing w:after="40" w:before="0"/>
            </w:pPr>
            <w:r>
              <w:rPr>
                <w:rFonts w:ascii="Calibri" w:cs="Arial" w:eastAsia="Arial" w:hAnsi="Calibri"/>
                <w:b w:val="0"/>
                <w:i w:val="0"/>
                <w:color w:val="000000"/>
                <w:sz w:val="22"/>
                <w:szCs w:val="17"/>
              </w:rPr>
              <w:t xml:space="preserve">Competitive intelligence and pricing analysis for financial products</w:t>
            </w:r>
          </w:p>
          <w:p>
            <w:pPr>
              <w:pStyle w:val="ListParagraph"/>
              <w:numPr>
                <w:ilvl w:val="0"/>
                <w:numId w:val="2"/>
              </w:numPr>
              <w:spacing w:after="40" w:before="0"/>
            </w:pPr>
            <w:r>
              <w:rPr>
                <w:rFonts w:ascii="Calibri" w:cs="Arial" w:eastAsia="Arial" w:hAnsi="Calibri"/>
                <w:b w:val="0"/>
                <w:i w:val="0"/>
                <w:color w:val="000000"/>
                <w:sz w:val="22"/>
                <w:szCs w:val="17"/>
              </w:rPr>
              <w:t xml:space="preserve">REST API data extraction and programmatic data pipeline design</w:t>
            </w:r>
          </w:p>
          <w:p>
            <w:pPr>
              <w:pStyle w:val="ListParagraph"/>
              <w:numPr>
                <w:ilvl w:val="0"/>
                <w:numId w:val="2"/>
              </w:numPr>
              <w:spacing w:after="40" w:before="0"/>
            </w:pPr>
            <w:r>
              <w:rPr>
                <w:rFonts w:ascii="Calibri" w:cs="Arial" w:eastAsia="Arial" w:hAnsi="Calibri"/>
                <w:b w:val="0"/>
                <w:i w:val="0"/>
                <w:color w:val="000000"/>
                <w:sz w:val="22"/>
                <w:szCs w:val="17"/>
              </w:rPr>
              <w:t xml:space="preserve">Multi-source data reconciliation and comparative analytics</w:t>
            </w:r>
          </w:p>
        </w:tc>
      </w:tr>
      <w:tr>
        <w:tc>
          <w:tcPr>
            <w:tcW w:type="dxa" w:w="1200"/>
            <w:tcBorders>
              <w:top w:val="single" w:sz="4"/>
              <w:left w:val="single" w:sz="4"/>
              <w:bottom w:val="single" w:sz="4"/>
              <w:right w:val="single" w:sz="4"/>
            </w:tcBorders>
            <w:tcMar>
              <w:top w:type="dxa" w:w="90"/>
              <w:left w:type="dxa" w:w="120"/>
              <w:bottom w:type="dxa" w:w="90"/>
              <w:right w:type="dxa" w:w="120"/>
            </w:tcMar>
            <w:vAlign w:val="center"/>
          </w:tcPr>
          <w:p>
            <w:pPr>
              <w:jc w:val="center"/>
            </w:pPr>
            <w:r>
              <w:rPr>
                <w:rFonts w:ascii="Calibri" w:cs="Arial" w:eastAsia="Arial" w:hAnsi="Calibri"/>
                <w:b w:val="0"/>
                <w:bCs/>
                <w:i w:val="0"/>
                <w:color w:val="000000"/>
                <w:sz w:val="22"/>
                <w:szCs w:val="17"/>
              </w:rPr>
              <w:t xml:space="preserve">17 Mar 2026</w:t>
            </w:r>
          </w:p>
        </w:tc>
        <w:tc>
          <w:tcPr>
            <w:tcW w:type="dxa" w:w="4800"/>
            <w:tcBorders>
              <w:top w:val="single" w:sz="4"/>
              <w:left w:val="single" w:sz="4"/>
              <w:bottom w:val="single" w:sz="4"/>
              <w:right w:val="single" w:sz="4"/>
            </w:tcBorders>
            <w:tcMar>
              <w:top w:type="dxa" w:w="90"/>
              <w:left w:type="dxa" w:w="120"/>
              <w:bottom w:type="dxa" w:w="90"/>
              <w:right w:type="dxa" w:w="120"/>
            </w:tcMar>
          </w:tcPr>
          <w:p>
            <w:pPr>
              <w:spacing w:after="30" w:before="60"/>
            </w:pPr>
            <w:r>
              <w:rPr>
                <w:rFonts w:ascii="Calibri" w:cs="Arial" w:eastAsia="Arial" w:hAnsi="Calibri"/>
                <w:b w:val="0"/>
                <w:bCs/>
                <w:i w:val="0"/>
                <w:color w:val="000000"/>
                <w:sz w:val="22"/>
                <w:szCs w:val="17"/>
              </w:rPr>
              <w:t xml:space="preserve">AWS Startup Credits — Infrastructure Optimisation</w:t>
            </w:r>
          </w:p>
          <w:p>
            <w:pPr>
              <w:pStyle w:val="ListParagraph"/>
              <w:numPr>
                <w:ilvl w:val="0"/>
                <w:numId w:val="2"/>
              </w:numPr>
              <w:spacing w:after="40" w:before="0"/>
            </w:pPr>
            <w:r>
              <w:rPr>
                <w:rFonts w:ascii="Calibri" w:cs="Arial" w:eastAsia="Arial" w:hAnsi="Calibri"/>
                <w:b w:val="0"/>
                <w:i w:val="0"/>
                <w:color w:val="000000"/>
                <w:sz w:val="22"/>
                <w:szCs w:val="17"/>
              </w:rPr>
              <w:t xml:space="preserve">Prepared AWS Activate startup credit application for Lynia Finance: drafted project description tailored to Lambda microservice architecture, RDS PostgreSQL usage, and financial inclusion mission for Zimbabwe's underbanked population</w:t>
            </w:r>
          </w:p>
          <w:p>
            <w:pPr>
              <w:pStyle w:val="ListParagraph"/>
              <w:numPr>
                <w:ilvl w:val="0"/>
                <w:numId w:val="2"/>
              </w:numPr>
              <w:spacing w:after="40" w:before="0"/>
            </w:pPr>
            <w:r>
              <w:rPr>
                <w:rFonts w:ascii="Calibri" w:cs="Arial" w:eastAsia="Arial" w:hAnsi="Calibri"/>
                <w:b w:val="0"/>
                <w:i w:val="0"/>
                <w:color w:val="000000"/>
                <w:sz w:val="22"/>
                <w:szCs w:val="17"/>
              </w:rPr>
              <w:t xml:space="preserve">Assessed AWS Activate program tiers: Founders tier ($1,000 credits, self-funded early-stage) and Portfolio tier ($100,000, requires VC/accelerator affiliation) — documented pathway to Portfolio tier aligned with investor engagement timeline</w:t>
            </w:r>
          </w:p>
          <w:p>
            <w:pPr>
              <w:pStyle w:val="ListParagraph"/>
              <w:numPr>
                <w:ilvl w:val="0"/>
                <w:numId w:val="2"/>
              </w:numPr>
              <w:spacing w:after="40" w:before="0"/>
            </w:pPr>
            <w:r>
              <w:rPr>
                <w:rFonts w:ascii="Calibri" w:cs="Arial" w:eastAsia="Arial" w:hAnsi="Calibri"/>
                <w:b w:val="0"/>
                <w:i w:val="0"/>
                <w:color w:val="000000"/>
                <w:sz w:val="22"/>
                <w:szCs w:val="17"/>
              </w:rPr>
              <w:t xml:space="preserve">Resolved AWS account email conflict: recommended using admin@lyniafinance.com alias immediately to avoid 90-day waiting period from primary email account closure</w:t>
            </w:r>
          </w:p>
          <w:p>
            <w:pPr>
              <w:spacing w:after="30" w:before="60"/>
            </w:pPr>
            <w:r>
              <w:rPr>
                <w:rFonts w:ascii="Calibri" w:cs="Arial" w:eastAsia="Arial" w:hAnsi="Calibri"/>
                <w:b w:val="0"/>
                <w:bCs/>
                <w:i w:val="0"/>
                <w:color w:val="000000"/>
                <w:sz w:val="22"/>
                <w:szCs w:val="17"/>
              </w:rPr>
              <w:t xml:space="preserve">Cost Optimisation Analytics</w:t>
            </w:r>
          </w:p>
          <w:p>
            <w:pPr>
              <w:pStyle w:val="ListParagraph"/>
              <w:numPr>
                <w:ilvl w:val="0"/>
                <w:numId w:val="2"/>
              </w:numPr>
              <w:spacing w:after="40" w:before="0"/>
            </w:pPr>
            <w:r>
              <w:rPr>
                <w:rFonts w:ascii="Calibri" w:cs="Arial" w:eastAsia="Arial" w:hAnsi="Calibri"/>
                <w:b w:val="0"/>
                <w:i w:val="0"/>
                <w:color w:val="000000"/>
                <w:sz w:val="22"/>
                <w:szCs w:val="17"/>
              </w:rPr>
              <w:t xml:space="preserve">Reviewed current AWS Lambda, RDS, S3, SQS, and CloudFront cost structure; modelled cost savings from AWS Activate credits against Lynia's $250/month tech infrastructure budget line in the financial model</w:t>
            </w:r>
          </w:p>
        </w:tc>
        <w:tc>
          <w:tcPr>
            <w:tcW w:type="dxa" w:w="3026"/>
            <w:tcBorders>
              <w:top w:val="single" w:sz="4"/>
              <w:left w:val="single" w:sz="4"/>
              <w:bottom w:val="single" w:sz="4"/>
              <w:right w:val="single" w:sz="4"/>
            </w:tcBorders>
            <w:tcMar>
              <w:top w:type="dxa" w:w="90"/>
              <w:left w:type="dxa" w:w="120"/>
              <w:bottom w:type="dxa" w:w="90"/>
              <w:right w:type="dxa" w:w="120"/>
            </w:tcMar>
          </w:tcPr>
          <w:p>
            <w:pPr>
              <w:pStyle w:val="ListParagraph"/>
              <w:numPr>
                <w:ilvl w:val="0"/>
                <w:numId w:val="2"/>
              </w:numPr>
              <w:spacing w:after="40" w:before="0"/>
            </w:pPr>
            <w:r>
              <w:rPr>
                <w:rFonts w:ascii="Calibri" w:cs="Arial" w:eastAsia="Arial" w:hAnsi="Calibri"/>
                <w:b w:val="0"/>
                <w:i w:val="0"/>
                <w:color w:val="000000"/>
                <w:sz w:val="22"/>
                <w:szCs w:val="17"/>
              </w:rPr>
              <w:t xml:space="preserve">Cloud infrastructure cost optimisation and startup credit programme navigation</w:t>
            </w:r>
          </w:p>
          <w:p>
            <w:pPr>
              <w:pStyle w:val="ListParagraph"/>
              <w:numPr>
                <w:ilvl w:val="0"/>
                <w:numId w:val="2"/>
              </w:numPr>
              <w:spacing w:after="40" w:before="0"/>
            </w:pPr>
            <w:r>
              <w:rPr>
                <w:rFonts w:ascii="Calibri" w:cs="Arial" w:eastAsia="Arial" w:hAnsi="Calibri"/>
                <w:b w:val="0"/>
                <w:i w:val="0"/>
                <w:color w:val="000000"/>
                <w:sz w:val="22"/>
                <w:szCs w:val="17"/>
              </w:rPr>
              <w:t xml:space="preserve">AWS account management and identity configuration</w:t>
            </w:r>
          </w:p>
          <w:p>
            <w:pPr>
              <w:pStyle w:val="ListParagraph"/>
              <w:numPr>
                <w:ilvl w:val="0"/>
                <w:numId w:val="2"/>
              </w:numPr>
              <w:spacing w:after="40" w:before="0"/>
            </w:pPr>
            <w:r>
              <w:rPr>
                <w:rFonts w:ascii="Calibri" w:cs="Arial" w:eastAsia="Arial" w:hAnsi="Calibri"/>
                <w:b w:val="0"/>
                <w:i w:val="0"/>
                <w:color w:val="000000"/>
                <w:sz w:val="22"/>
                <w:szCs w:val="17"/>
              </w:rPr>
              <w:t xml:space="preserve">Infrastructure cost modelling and budget variance analysis</w:t>
            </w:r>
          </w:p>
        </w:tc>
      </w:tr>
      <w:tr>
        <w:tc>
          <w:tcPr>
            <w:tcW w:type="dxa" w:w="1200"/>
            <w:tcBorders>
              <w:top w:val="single" w:sz="4"/>
              <w:left w:val="single" w:sz="4"/>
              <w:bottom w:val="single" w:sz="4"/>
              <w:right w:val="single" w:sz="4"/>
            </w:tcBorders>
            <w:tcMar>
              <w:top w:type="dxa" w:w="90"/>
              <w:left w:type="dxa" w:w="120"/>
              <w:bottom w:type="dxa" w:w="90"/>
              <w:right w:type="dxa" w:w="120"/>
            </w:tcMar>
            <w:vAlign w:val="center"/>
          </w:tcPr>
          <w:p>
            <w:pPr>
              <w:jc w:val="center"/>
            </w:pPr>
            <w:r>
              <w:rPr>
                <w:rFonts w:ascii="Calibri" w:cs="Arial" w:eastAsia="Arial" w:hAnsi="Calibri"/>
                <w:b w:val="0"/>
                <w:bCs/>
                <w:i w:val="0"/>
                <w:color w:val="000000"/>
                <w:sz w:val="22"/>
                <w:szCs w:val="17"/>
              </w:rPr>
              <w:t xml:space="preserve">24 Mar 2026</w:t>
            </w:r>
          </w:p>
        </w:tc>
        <w:tc>
          <w:tcPr>
            <w:tcW w:type="dxa" w:w="4800"/>
            <w:tcBorders>
              <w:top w:val="single" w:sz="4"/>
              <w:left w:val="single" w:sz="4"/>
              <w:bottom w:val="single" w:sz="4"/>
              <w:right w:val="single" w:sz="4"/>
            </w:tcBorders>
            <w:tcMar>
              <w:top w:type="dxa" w:w="90"/>
              <w:left w:type="dxa" w:w="120"/>
              <w:bottom w:type="dxa" w:w="90"/>
              <w:right w:type="dxa" w:w="120"/>
            </w:tcMar>
          </w:tcPr>
          <w:p>
            <w:pPr>
              <w:spacing w:after="30" w:before="60"/>
            </w:pPr>
            <w:r>
              <w:rPr>
                <w:rFonts w:ascii="Calibri" w:cs="Arial" w:eastAsia="Arial" w:hAnsi="Calibri"/>
                <w:b w:val="0"/>
                <w:bCs/>
                <w:i w:val="0"/>
                <w:color w:val="000000"/>
                <w:sz w:val="22"/>
                <w:szCs w:val="17"/>
              </w:rPr>
              <w:t xml:space="preserve">Mobile Money Partner Technical Discovery</w:t>
            </w:r>
          </w:p>
          <w:p>
            <w:pPr>
              <w:pStyle w:val="ListParagraph"/>
              <w:numPr>
                <w:ilvl w:val="0"/>
                <w:numId w:val="2"/>
              </w:numPr>
              <w:spacing w:after="40" w:before="0"/>
            </w:pPr>
            <w:r>
              <w:rPr>
                <w:rFonts w:ascii="Calibri" w:cs="Arial" w:eastAsia="Arial" w:hAnsi="Calibri"/>
                <w:b w:val="0"/>
                <w:i w:val="0"/>
                <w:color w:val="000000"/>
                <w:sz w:val="22"/>
                <w:szCs w:val="17"/>
              </w:rPr>
              <w:t xml:space="preserve">Finalised technical discovery preparation for EcoCash, InnBucks, and O'mari partner API calls: produced interactive HTML reference document with tabbed partner navigation, clickable compliance checklists, and system integration pitch summaries</w:t>
            </w:r>
          </w:p>
          <w:p>
            <w:pPr>
              <w:pStyle w:val="ListParagraph"/>
              <w:numPr>
                <w:ilvl w:val="0"/>
                <w:numId w:val="2"/>
              </w:numPr>
              <w:spacing w:after="40" w:before="0"/>
            </w:pPr>
            <w:r>
              <w:rPr>
                <w:rFonts w:ascii="Calibri" w:cs="Arial" w:eastAsia="Arial" w:hAnsi="Calibri"/>
                <w:b w:val="0"/>
                <w:i w:val="0"/>
                <w:color w:val="000000"/>
                <w:sz w:val="22"/>
                <w:szCs w:val="17"/>
              </w:rPr>
              <w:t xml:space="preserve">Analysed O'mari (Old Mutual) strategic opportunity: modelled credit life insurance co-product potential to reduce NPL exposure; identified O'mari as slowest-moving but highest-strategic-value partner</w:t>
            </w:r>
          </w:p>
          <w:p>
            <w:pPr>
              <w:pStyle w:val="ListParagraph"/>
              <w:numPr>
                <w:ilvl w:val="0"/>
                <w:numId w:val="2"/>
              </w:numPr>
              <w:spacing w:after="40" w:before="0"/>
            </w:pPr>
            <w:r>
              <w:rPr>
                <w:rFonts w:ascii="Calibri" w:cs="Arial" w:eastAsia="Arial" w:hAnsi="Calibri"/>
                <w:b w:val="0"/>
                <w:i w:val="0"/>
                <w:color w:val="000000"/>
                <w:sz w:val="22"/>
                <w:szCs w:val="17"/>
              </w:rPr>
              <w:t xml:space="preserve">Confirmed EcoCash as highest-priority integration given dominant wallet penetration across both civil servant and ride-hailing driver borrower segments</w:t>
            </w:r>
          </w:p>
          <w:p>
            <w:pPr>
              <w:spacing w:after="30" w:before="60"/>
            </w:pPr>
            <w:r>
              <w:rPr>
                <w:rFonts w:ascii="Calibri" w:cs="Arial" w:eastAsia="Arial" w:hAnsi="Calibri"/>
                <w:b w:val="0"/>
                <w:bCs/>
                <w:i w:val="0"/>
                <w:color w:val="000000"/>
                <w:sz w:val="22"/>
                <w:szCs w:val="17"/>
              </w:rPr>
              <w:t xml:space="preserve">Data Room Finalisation</w:t>
            </w:r>
          </w:p>
          <w:p>
            <w:pPr>
              <w:pStyle w:val="ListParagraph"/>
              <w:numPr>
                <w:ilvl w:val="0"/>
                <w:numId w:val="2"/>
              </w:numPr>
              <w:spacing w:after="40" w:before="0"/>
            </w:pPr>
            <w:r>
              <w:rPr>
                <w:rFonts w:ascii="Calibri" w:cs="Arial" w:eastAsia="Arial" w:hAnsi="Calibri"/>
                <w:b w:val="0"/>
                <w:i w:val="0"/>
                <w:color w:val="000000"/>
                <w:sz w:val="22"/>
                <w:szCs w:val="17"/>
              </w:rPr>
              <w:t xml:space="preserve">Completed and packaged investor data room materials: 13-slide pitch deck (Lynia_Finance_Pitch_Deck.pptx), multi-product financial model Excel workbook, cap table, and supporting market research documents</w:t>
            </w:r>
          </w:p>
          <w:p>
            <w:pPr>
              <w:pStyle w:val="ListParagraph"/>
              <w:numPr>
                <w:ilvl w:val="0"/>
                <w:numId w:val="2"/>
              </w:numPr>
              <w:spacing w:after="40" w:before="0"/>
            </w:pPr>
            <w:r>
              <w:rPr>
                <w:rFonts w:ascii="Calibri" w:cs="Arial" w:eastAsia="Arial" w:hAnsi="Calibri"/>
                <w:b w:val="0"/>
                <w:i w:val="0"/>
                <w:color w:val="000000"/>
                <w:sz w:val="22"/>
                <w:szCs w:val="17"/>
              </w:rPr>
              <w:t xml:space="preserve">Reviewed data room structure against VC due diligence checklist; confirmed coverage across all nine required categories for first VC meeting</w:t>
            </w:r>
          </w:p>
        </w:tc>
        <w:tc>
          <w:tcPr>
            <w:tcW w:type="dxa" w:w="3026"/>
            <w:tcBorders>
              <w:top w:val="single" w:sz="4"/>
              <w:left w:val="single" w:sz="4"/>
              <w:bottom w:val="single" w:sz="4"/>
              <w:right w:val="single" w:sz="4"/>
            </w:tcBorders>
            <w:tcMar>
              <w:top w:type="dxa" w:w="90"/>
              <w:left w:type="dxa" w:w="120"/>
              <w:bottom w:type="dxa" w:w="90"/>
              <w:right w:type="dxa" w:w="120"/>
            </w:tcMar>
          </w:tcPr>
          <w:p>
            <w:pPr>
              <w:pStyle w:val="ListParagraph"/>
              <w:numPr>
                <w:ilvl w:val="0"/>
                <w:numId w:val="2"/>
              </w:numPr>
              <w:spacing w:after="40" w:before="0"/>
            </w:pPr>
            <w:r>
              <w:rPr>
                <w:rFonts w:ascii="Calibri" w:cs="Arial" w:eastAsia="Arial" w:hAnsi="Calibri"/>
                <w:b w:val="0"/>
                <w:i w:val="0"/>
                <w:color w:val="000000"/>
                <w:sz w:val="22"/>
                <w:szCs w:val="17"/>
              </w:rPr>
              <w:t xml:space="preserve">Strategic partner evaluation and API integration prioritisation</w:t>
            </w:r>
          </w:p>
          <w:p>
            <w:pPr>
              <w:pStyle w:val="ListParagraph"/>
              <w:numPr>
                <w:ilvl w:val="0"/>
                <w:numId w:val="2"/>
              </w:numPr>
              <w:spacing w:after="40" w:before="0"/>
            </w:pPr>
            <w:r>
              <w:rPr>
                <w:rFonts w:ascii="Calibri" w:cs="Arial" w:eastAsia="Arial" w:hAnsi="Calibri"/>
                <w:b w:val="0"/>
                <w:i w:val="0"/>
                <w:color w:val="000000"/>
                <w:sz w:val="22"/>
                <w:szCs w:val="17"/>
              </w:rPr>
              <w:t xml:space="preserve">Investor relations materials preparation and due diligence readiness</w:t>
            </w:r>
          </w:p>
          <w:p>
            <w:pPr>
              <w:pStyle w:val="ListParagraph"/>
              <w:numPr>
                <w:ilvl w:val="0"/>
                <w:numId w:val="2"/>
              </w:numPr>
              <w:spacing w:after="40" w:before="0"/>
            </w:pPr>
            <w:r>
              <w:rPr>
                <w:rFonts w:ascii="Calibri" w:cs="Arial" w:eastAsia="Arial" w:hAnsi="Calibri"/>
                <w:b w:val="0"/>
                <w:i w:val="0"/>
                <w:color w:val="000000"/>
                <w:sz w:val="22"/>
                <w:szCs w:val="17"/>
              </w:rPr>
              <w:t xml:space="preserve">Technical business development and partner negotiation preparation</w:t>
            </w:r>
          </w:p>
        </w:tc>
      </w:tr>
      <w:tr>
        <w:tc>
          <w:tcPr>
            <w:tcW w:type="dxa" w:w="1200"/>
            <w:tcBorders>
              <w:top w:val="single" w:sz="4"/>
              <w:left w:val="single" w:sz="4"/>
              <w:bottom w:val="single" w:sz="4"/>
              <w:right w:val="single" w:sz="4"/>
            </w:tcBorders>
            <w:tcMar>
              <w:top w:type="dxa" w:w="90"/>
              <w:left w:type="dxa" w:w="120"/>
              <w:bottom w:type="dxa" w:w="90"/>
              <w:right w:type="dxa" w:w="120"/>
            </w:tcMar>
            <w:vAlign w:val="center"/>
          </w:tcPr>
          <w:p>
            <w:pPr>
              <w:jc w:val="center"/>
            </w:pPr>
            <w:r>
              <w:rPr>
                <w:rFonts w:ascii="Calibri" w:cs="Arial" w:eastAsia="Arial" w:hAnsi="Calibri"/>
                <w:b w:val="0"/>
                <w:bCs/>
                <w:i w:val="0"/>
                <w:color w:val="000000"/>
                <w:sz w:val="22"/>
                <w:szCs w:val="17"/>
              </w:rPr>
              <w:t xml:space="preserve">27 Mar 2026</w:t>
            </w:r>
          </w:p>
        </w:tc>
        <w:tc>
          <w:tcPr>
            <w:tcW w:type="dxa" w:w="4800"/>
            <w:tcBorders>
              <w:top w:val="single" w:sz="4"/>
              <w:left w:val="single" w:sz="4"/>
              <w:bottom w:val="single" w:sz="4"/>
              <w:right w:val="single" w:sz="4"/>
            </w:tcBorders>
            <w:tcMar>
              <w:top w:type="dxa" w:w="90"/>
              <w:left w:type="dxa" w:w="120"/>
              <w:bottom w:type="dxa" w:w="90"/>
              <w:right w:type="dxa" w:w="120"/>
            </w:tcMar>
          </w:tcPr>
          <w:p>
            <w:pPr>
              <w:spacing w:after="30" w:before="60"/>
            </w:pPr>
            <w:r>
              <w:rPr>
                <w:rFonts w:ascii="Calibri" w:cs="Arial" w:eastAsia="Arial" w:hAnsi="Calibri"/>
                <w:b w:val="0"/>
                <w:bCs/>
                <w:i w:val="0"/>
                <w:color w:val="000000"/>
                <w:sz w:val="22"/>
                <w:szCs w:val="17"/>
              </w:rPr>
              <w:t xml:space="preserve">Logbook &amp; Documentation Compilation</w:t>
            </w:r>
          </w:p>
          <w:p>
            <w:pPr>
              <w:pStyle w:val="ListParagraph"/>
              <w:numPr>
                <w:ilvl w:val="0"/>
                <w:numId w:val="2"/>
              </w:numPr>
              <w:spacing w:after="40" w:before="0"/>
            </w:pPr>
            <w:r>
              <w:rPr>
                <w:rFonts w:ascii="Calibri" w:cs="Arial" w:eastAsia="Arial" w:hAnsi="Calibri"/>
                <w:b w:val="0"/>
                <w:i w:val="0"/>
                <w:color w:val="000000"/>
                <w:sz w:val="22"/>
                <w:szCs w:val="17"/>
              </w:rPr>
              <w:t xml:space="preserve">Compiled and structured this Industrial Attachment Logbook documenting 26 weeks of technical and analytical work at Lynia Finance</w:t>
            </w:r>
          </w:p>
          <w:p>
            <w:pPr>
              <w:pStyle w:val="ListParagraph"/>
              <w:numPr>
                <w:ilvl w:val="0"/>
                <w:numId w:val="2"/>
              </w:numPr>
              <w:spacing w:after="40" w:before="0"/>
            </w:pPr>
            <w:r>
              <w:rPr>
                <w:rFonts w:ascii="Calibri" w:cs="Arial" w:eastAsia="Arial" w:hAnsi="Calibri"/>
                <w:b w:val="0"/>
                <w:i w:val="0"/>
                <w:color w:val="000000"/>
                <w:sz w:val="22"/>
                <w:szCs w:val="17"/>
              </w:rPr>
              <w:t xml:space="preserve">Reviewed all project deliverables: two investor-grade financial models (civil servant and ride-hailing driver lending), smartphone device financing TAM/SAM/SOM model, investor data room (pitch deck, financial model, cap table), mobile money partner discovery materials, admin panel audit report, and database schema documentation</w:t>
            </w:r>
          </w:p>
          <w:p>
            <w:pPr>
              <w:pStyle w:val="ListParagraph"/>
              <w:numPr>
                <w:ilvl w:val="0"/>
                <w:numId w:val="2"/>
              </w:numPr>
              <w:spacing w:after="40" w:before="0"/>
            </w:pPr>
            <w:r>
              <w:rPr>
                <w:rFonts w:ascii="Calibri" w:cs="Arial" w:eastAsia="Arial" w:hAnsi="Calibri"/>
                <w:b w:val="0"/>
                <w:i w:val="0"/>
                <w:color w:val="000000"/>
                <w:sz w:val="22"/>
                <w:szCs w:val="17"/>
              </w:rPr>
              <w:t xml:space="preserve">Reflected on competencies developed across full-stack development, financial modelling, market research, API integration design, and FinTech regulatory compliance</w:t>
            </w:r>
          </w:p>
          <w:p>
            <w:pPr>
              <w:spacing w:after="30" w:before="60"/>
            </w:pPr>
            <w:r>
              <w:rPr>
                <w:rFonts w:ascii="Calibri" w:cs="Arial" w:eastAsia="Arial" w:hAnsi="Calibri"/>
                <w:b w:val="0"/>
                <w:bCs/>
                <w:i w:val="0"/>
                <w:color w:val="000000"/>
                <w:sz w:val="22"/>
                <w:szCs w:val="17"/>
              </w:rPr>
              <w:t xml:space="preserve">Professional Reflection</w:t>
            </w:r>
          </w:p>
          <w:p>
            <w:pPr>
              <w:pStyle w:val="ListParagraph"/>
              <w:numPr>
                <w:ilvl w:val="0"/>
                <w:numId w:val="2"/>
              </w:numPr>
              <w:spacing w:after="40" w:before="0"/>
            </w:pPr>
            <w:r>
              <w:rPr>
                <w:rFonts w:ascii="Calibri" w:cs="Arial" w:eastAsia="Arial" w:hAnsi="Calibri"/>
                <w:b w:val="0"/>
                <w:i w:val="0"/>
                <w:color w:val="000000"/>
                <w:sz w:val="22"/>
                <w:szCs w:val="17"/>
              </w:rPr>
              <w:t xml:space="preserve">Drafted Summary of Experience synthesising the impact of building a startup's technical and analytical infrastructure from the ground up across a 26-week attachment period</w:t>
            </w:r>
          </w:p>
        </w:tc>
        <w:tc>
          <w:tcPr>
            <w:tcW w:type="dxa" w:w="3026"/>
            <w:tcBorders>
              <w:top w:val="single" w:sz="4"/>
              <w:left w:val="single" w:sz="4"/>
              <w:bottom w:val="single" w:sz="4"/>
              <w:right w:val="single" w:sz="4"/>
            </w:tcBorders>
            <w:tcMar>
              <w:top w:type="dxa" w:w="90"/>
              <w:left w:type="dxa" w:w="120"/>
              <w:bottom w:type="dxa" w:w="90"/>
              <w:right w:type="dxa" w:w="120"/>
            </w:tcMar>
          </w:tcPr>
          <w:p>
            <w:pPr>
              <w:pStyle w:val="ListParagraph"/>
              <w:numPr>
                <w:ilvl w:val="0"/>
                <w:numId w:val="2"/>
              </w:numPr>
              <w:spacing w:after="40" w:before="0"/>
            </w:pPr>
            <w:r>
              <w:rPr>
                <w:rFonts w:ascii="Calibri" w:cs="Arial" w:eastAsia="Arial" w:hAnsi="Calibri"/>
                <w:b w:val="0"/>
                <w:i w:val="0"/>
                <w:color w:val="000000"/>
                <w:sz w:val="22"/>
                <w:szCs w:val="17"/>
              </w:rPr>
              <w:t xml:space="preserve">Technical documentation and professional report writing</w:t>
            </w:r>
          </w:p>
          <w:p>
            <w:pPr>
              <w:pStyle w:val="ListParagraph"/>
              <w:numPr>
                <w:ilvl w:val="0"/>
                <w:numId w:val="2"/>
              </w:numPr>
              <w:spacing w:after="40" w:before="0"/>
            </w:pPr>
            <w:r>
              <w:rPr>
                <w:rFonts w:ascii="Calibri" w:cs="Arial" w:eastAsia="Arial" w:hAnsi="Calibri"/>
                <w:b w:val="0"/>
                <w:i w:val="0"/>
                <w:color w:val="000000"/>
                <w:sz w:val="22"/>
                <w:szCs w:val="17"/>
              </w:rPr>
              <w:t xml:space="preserve">Project portfolio compilation and competency reflection</w:t>
            </w:r>
          </w:p>
          <w:p>
            <w:pPr>
              <w:pStyle w:val="ListParagraph"/>
              <w:numPr>
                <w:ilvl w:val="0"/>
                <w:numId w:val="2"/>
              </w:numPr>
              <w:spacing w:after="40" w:before="0"/>
            </w:pPr>
            <w:r>
              <w:rPr>
                <w:rFonts w:ascii="Calibri" w:cs="Arial" w:eastAsia="Arial" w:hAnsi="Calibri"/>
                <w:b w:val="0"/>
                <w:i w:val="0"/>
                <w:color w:val="000000"/>
                <w:sz w:val="22"/>
                <w:szCs w:val="17"/>
              </w:rPr>
              <w:t xml:space="preserve">Full-cycle startup product development understanding from inception to investor-readiness</w:t>
            </w:r>
          </w:p>
        </w:tc>
      </w:tr>
      <w:tr>
        <w:tc>
          <w:tcPr>
            <w:tcW w:type="dxa" w:w="1200"/>
          </w:tcPr>
          <w:p>
            <w:r>
              <w:rPr>
                <w:rFonts w:ascii="Calibri" w:hAnsi="Calibri"/>
                <w:color w:val="000000"/>
                <w:sz w:val="22"/>
              </w:rPr>
              <w:t>31 Mar 2026</w:t>
            </w:r>
          </w:p>
        </w:tc>
        <w:tc>
          <w:tcPr>
            <w:tcW w:type="dxa" w:w="4800"/>
          </w:tcPr>
          <w:p>
            <w:r>
              <w:rPr>
                <w:rFonts w:ascii="Calibri" w:hAnsi="Calibri"/>
                <w:color w:val="000000"/>
                <w:sz w:val="22"/>
              </w:rPr>
              <w:t>Personal Portfolio Website — Phase 1: Design System &amp; Component Library</w:t>
              <w:br/>
              <w:t>Initiated build of personal Informatics &amp; Analytics portfolio website using Next.js 14 and Tailwind CSS. Established design system with reusable components: Hero section, Project card gallery, Skills visualization, Contact form. Implemented Framer Motion animations for smooth transitions. Configured responsive grid layouts (Bento Box) for project showcase. Set up GitHub repository for version control and deployed staging environment to Vercel. Documented component library with Storybook for future extensibility.</w:t>
            </w:r>
          </w:p>
        </w:tc>
        <w:tc>
          <w:tcPr>
            <w:tcW w:type="dxa" w:w="3026"/>
          </w:tcPr>
          <w:p>
            <w:r>
              <w:rPr>
                <w:rFonts w:ascii="Calibri" w:hAnsi="Calibri"/>
                <w:color w:val="000000"/>
                <w:sz w:val="22"/>
              </w:rPr>
              <w:t>Frontend framework architecture, design system thinking, component composition, responsive design, animation libraries</w:t>
            </w:r>
          </w:p>
        </w:tc>
      </w:tr>
      <w:tr>
        <w:tc>
          <w:tcPr>
            <w:tcW w:type="dxa" w:w="1200"/>
          </w:tcPr>
          <w:p>
            <w:r>
              <w:rPr>
                <w:rFonts w:ascii="Calibri" w:hAnsi="Calibri"/>
                <w:color w:val="000000"/>
                <w:sz w:val="22"/>
              </w:rPr>
              <w:t>7 Apr 2026</w:t>
            </w:r>
          </w:p>
        </w:tc>
        <w:tc>
          <w:tcPr>
            <w:tcW w:type="dxa" w:w="4800"/>
          </w:tcPr>
          <w:p>
            <w:r>
              <w:rPr>
                <w:rFonts w:ascii="Calibri" w:hAnsi="Calibri"/>
                <w:color w:val="000000"/>
                <w:sz w:val="22"/>
              </w:rPr>
              <w:t>SlotiFlow SaaS — Project Initiation &amp; Technical Architecture</w:t>
              <w:br/>
              <w:t>Conceived SlotiFlow: a booking/scheduling system SaaS targeting small businesses (salons, clinics, consultants). Defined core features: appointment scheduling, client management, automated reminders (WhatsApp/SMS), payment integration, calendar sync. Architected full-stack MVP using Next.js 14 (frontend), Node.js/Express (API), PostgreSQL (database), Stripe (payments). Created database schema: Users, Businesses, Services, Appointments, Clients, Transactions. Designed API endpoints: /bookings, /appointments, /clients, /availability. Set up project repository and CI/CD pipeline.</w:t>
            </w:r>
          </w:p>
        </w:tc>
        <w:tc>
          <w:tcPr>
            <w:tcW w:type="dxa" w:w="3026"/>
          </w:tcPr>
          <w:p>
            <w:r>
              <w:rPr>
                <w:rFonts w:ascii="Calibri" w:hAnsi="Calibri"/>
                <w:color w:val="000000"/>
                <w:sz w:val="22"/>
              </w:rPr>
              <w:t>SaaS product design, technical architecture, database modeling, API design, product management</w:t>
            </w:r>
          </w:p>
        </w:tc>
      </w:tr>
      <w:tr>
        <w:tc>
          <w:tcPr>
            <w:tcW w:type="dxa" w:w="1200"/>
          </w:tcPr>
          <w:p>
            <w:r>
              <w:rPr>
                <w:rFonts w:ascii="Calibri" w:hAnsi="Calibri"/>
                <w:color w:val="000000"/>
                <w:sz w:val="22"/>
              </w:rPr>
              <w:t>14 Apr 2026</w:t>
            </w:r>
          </w:p>
        </w:tc>
        <w:tc>
          <w:tcPr>
            <w:tcW w:type="dxa" w:w="4800"/>
          </w:tcPr>
          <w:p>
            <w:r>
              <w:rPr>
                <w:rFonts w:ascii="Calibri" w:hAnsi="Calibri"/>
                <w:color w:val="000000"/>
                <w:sz w:val="22"/>
              </w:rPr>
              <w:t>Portfolio Website — Case Study Development &amp; Project Content</w:t>
              <w:br/>
              <w:t>Developed detailed case studies for portfolio: (1) Lynia Finance fintech attachment — covered WhatsApp-first lending, credit scoring, investor materials; (2) Smartphone device financing model — highlighted TAM/SAM/SOM methodology; (3) Civil servant microloan financial modeling — emphasized regulatory compliance (RBZ, SSB, in duplum); (4) Mobile money partner discovery — showcased API integration frameworks. Implemented interactive project filters (category, technology, timeline). Designed project detail pages with live demos, GitHub links, technical writeups. Optimized images and performance metrics.</w:t>
            </w:r>
          </w:p>
        </w:tc>
        <w:tc>
          <w:tcPr>
            <w:tcW w:type="dxa" w:w="3026"/>
          </w:tcPr>
          <w:p>
            <w:r>
              <w:rPr>
                <w:rFonts w:ascii="Calibri" w:hAnsi="Calibri"/>
                <w:color w:val="000000"/>
                <w:sz w:val="22"/>
              </w:rPr>
              <w:t>Technical writing, project documentation, content strategy, interactive UI design, portfolio curation</w:t>
            </w:r>
          </w:p>
        </w:tc>
      </w:tr>
      <w:tr>
        <w:tc>
          <w:tcPr>
            <w:tcW w:type="dxa" w:w="1200"/>
          </w:tcPr>
          <w:p>
            <w:r>
              <w:rPr>
                <w:rFonts w:ascii="Calibri" w:hAnsi="Calibri"/>
                <w:color w:val="000000"/>
                <w:sz w:val="22"/>
              </w:rPr>
              <w:t>21 Apr 2026</w:t>
            </w:r>
          </w:p>
        </w:tc>
        <w:tc>
          <w:tcPr>
            <w:tcW w:type="dxa" w:w="4800"/>
          </w:tcPr>
          <w:p>
            <w:r>
              <w:rPr>
                <w:rFonts w:ascii="Calibri" w:hAnsi="Calibri"/>
                <w:color w:val="000000"/>
                <w:sz w:val="22"/>
              </w:rPr>
              <w:t>SlotiFlow MVP — Core Features Implementation Phase 1</w:t>
              <w:br/>
              <w:t>Implemented core SlotiFlow features: (1) Business registration flow with Stripe Connect setup; (2) Service creation UI with duration, price, and availability configuration; (3) Customer booking form with calendar picker and slot availability logic; (4) Appointment confirmation emails and SMS notifications (Twilio integration). Built database queries for availability slot calculation: accounts for service duration, break times, and business hours. Implemented conflict detection for overlapping appointments. Created admin dashboard with appointment list, status management, and basic analytics (total bookings, revenue).</w:t>
            </w:r>
          </w:p>
        </w:tc>
        <w:tc>
          <w:tcPr>
            <w:tcW w:type="dxa" w:w="3026"/>
          </w:tcPr>
          <w:p>
            <w:r>
              <w:rPr>
                <w:rFonts w:ascii="Calibri" w:hAnsi="Calibri"/>
                <w:color w:val="000000"/>
                <w:sz w:val="22"/>
              </w:rPr>
              <w:t>Full-stack development, payment gateway integration (Stripe), notification services, database queries, real-time availability logic</w:t>
            </w:r>
          </w:p>
        </w:tc>
      </w:tr>
      <w:tr>
        <w:tc>
          <w:tcPr>
            <w:tcW w:type="dxa" w:w="1200"/>
          </w:tcPr>
          <w:p>
            <w:r>
              <w:rPr>
                <w:rFonts w:ascii="Calibri" w:hAnsi="Calibri"/>
                <w:color w:val="000000"/>
                <w:sz w:val="22"/>
              </w:rPr>
              <w:t>28 Apr 2026</w:t>
            </w:r>
          </w:p>
        </w:tc>
        <w:tc>
          <w:tcPr>
            <w:tcW w:type="dxa" w:w="4800"/>
          </w:tcPr>
          <w:p>
            <w:r>
              <w:rPr>
                <w:rFonts w:ascii="Calibri" w:hAnsi="Calibri"/>
                <w:color w:val="000000"/>
                <w:sz w:val="22"/>
              </w:rPr>
              <w:t>Portfolio Website — Deployment &amp; Optimization</w:t>
              <w:br/>
              <w:t>Finalized portfolio website deployment to production on Vercel with custom domain. Implemented SEO optimization: meta tags, Open Graph images for social sharing, structured data schema for projects. Set up Google Analytics and performance monitoring. Achieved Lighthouse scores: Performance 95, Accessibility 98, Best Practices 96, SEO 100. Integrated GitHub webhook for automatic redeployment on code pushes. Created README documentation for portfolio repository with setup and deployment instructions. Portfolio now showcases 5 fintech projects, technical skills, and comprehensive case studies.</w:t>
            </w:r>
          </w:p>
        </w:tc>
        <w:tc>
          <w:tcPr>
            <w:tcW w:type="dxa" w:w="3026"/>
          </w:tcPr>
          <w:p>
            <w:r>
              <w:rPr>
                <w:rFonts w:ascii="Calibri" w:hAnsi="Calibri"/>
                <w:color w:val="000000"/>
                <w:sz w:val="22"/>
              </w:rPr>
              <w:t>Production deployment, SEO optimization, performance monitoring, DevOps, CI/CD pipeline management</w:t>
            </w:r>
          </w:p>
        </w:tc>
      </w:tr>
      <w:tr>
        <w:tc>
          <w:tcPr>
            <w:tcW w:type="dxa" w:w="1200"/>
          </w:tcPr>
          <w:p>
            <w:r>
              <w:rPr>
                <w:rFonts w:ascii="Calibri" w:hAnsi="Calibri"/>
                <w:color w:val="000000"/>
                <w:sz w:val="22"/>
              </w:rPr>
              <w:t>5 May 2026</w:t>
            </w:r>
          </w:p>
        </w:tc>
        <w:tc>
          <w:tcPr>
            <w:tcW w:type="dxa" w:w="4800"/>
          </w:tcPr>
          <w:p>
            <w:r>
              <w:rPr>
                <w:rFonts w:ascii="Calibri" w:hAnsi="Calibri"/>
                <w:color w:val="000000"/>
                <w:sz w:val="22"/>
              </w:rPr>
              <w:t>SlotiFlow MVP — Refinement &amp; User Experience Optimization</w:t>
              <w:br/>
              <w:t>Refined SlotiFlow user experience: (1) Implemented timezone support for appointment scheduling across different regions; (2) Built customer appointment history page with cancellation/rescheduling functionality; (3) Created business owner dashboard with detailed analytics: appointment trends, no-show rate, average booking value, revenue by service; (4) Added automated reminder system: 24-hour email + SMS reminders to reduce no-shows; (5) Implemented email customization for reminder templates per business. Conducted internal usability testing with 3 beta users (salon owner, clinic receptionist, consultant). Addressed feedback: simplified booking flow, improved calendar UX, clearer pricing display.</w:t>
            </w:r>
          </w:p>
        </w:tc>
        <w:tc>
          <w:tcPr>
            <w:tcW w:type="dxa" w:w="3026"/>
          </w:tcPr>
          <w:p>
            <w:r>
              <w:rPr>
                <w:rFonts w:ascii="Calibri" w:hAnsi="Calibri"/>
                <w:color w:val="000000"/>
                <w:sz w:val="22"/>
              </w:rPr>
              <w:t>UX research and iteration, analytics design, automated notification systems, user testing, iterative product development</w:t>
            </w:r>
          </w:p>
        </w:tc>
      </w:tr>
      <w:tr>
        <w:tc>
          <w:tcPr>
            <w:tcW w:type="dxa" w:w="1200"/>
          </w:tcPr>
          <w:p>
            <w:r>
              <w:rPr>
                <w:rFonts w:ascii="Calibri" w:hAnsi="Calibri"/>
                <w:color w:val="000000"/>
                <w:sz w:val="22"/>
              </w:rPr>
              <w:t>12 May 2026</w:t>
            </w:r>
          </w:p>
        </w:tc>
        <w:tc>
          <w:tcPr>
            <w:tcW w:type="dxa" w:w="4800"/>
          </w:tcPr>
          <w:p>
            <w:r>
              <w:rPr>
                <w:rFonts w:ascii="Calibri" w:hAnsi="Calibri"/>
                <w:color w:val="000000"/>
                <w:sz w:val="22"/>
              </w:rPr>
              <w:t>SlotiFlow MVP — Payment Integration &amp; Financial Reconciliation</w:t>
              <w:br/>
              <w:t>Completed Stripe payment integration for SlotiFlow: (1) Implemented customer payment collection at booking confirmation; (2) Set up Stripe Connect to route payments to business accounts with SaaS commission (8% of transaction value); (3) Built financial reconciliation system: automated daily reconciliation of Stripe transactions against appointment records; (4) Created payout dashboard for businesses showing settled earnings, pending payouts, and transaction history; (5) Implemented webhook handlers for payment.succeeded, payment.failed, and refund events. Calculated financial projections: 100 bookings/month × $50 avg booking = $5,000 GMV, $400 SaaS revenue at 8% commission.</w:t>
            </w:r>
          </w:p>
        </w:tc>
        <w:tc>
          <w:tcPr>
            <w:tcW w:type="dxa" w:w="3026"/>
          </w:tcPr>
          <w:p>
            <w:r>
              <w:rPr>
                <w:rFonts w:ascii="Calibri" w:hAnsi="Calibri"/>
                <w:color w:val="000000"/>
                <w:sz w:val="22"/>
              </w:rPr>
              <w:t>Payment systems design, financial reconciliation logic, Stripe API integration, webhook event handling, SaaS economics modeling</w:t>
            </w:r>
          </w:p>
        </w:tc>
      </w:tr>
      <w:tr>
        <w:tc>
          <w:tcPr>
            <w:tcW w:type="dxa" w:w="1200"/>
          </w:tcPr>
          <w:p>
            <w:r>
              <w:rPr>
                <w:rFonts w:ascii="Calibri" w:hAnsi="Calibri"/>
                <w:color w:val="000000"/>
                <w:sz w:val="22"/>
              </w:rPr>
              <w:t>19 May 2026</w:t>
            </w:r>
          </w:p>
        </w:tc>
        <w:tc>
          <w:tcPr>
            <w:tcW w:type="dxa" w:w="4800"/>
          </w:tcPr>
          <w:p>
            <w:r>
              <w:rPr>
                <w:rFonts w:ascii="Calibri" w:hAnsi="Calibri"/>
                <w:color w:val="000000"/>
                <w:sz w:val="22"/>
              </w:rPr>
              <w:t>SlotiFlow Launch Preparation — Product Marketing &amp; Go-to-Market Strategy</w:t>
              <w:br/>
              <w:t>Prepared SlotiFlow for beta launch: (1) Created landing page highlighting core value props: "Save 10 hours/week on scheduling" targeting salon/clinic market; (2) Drafted customer success templates: onboarding email sequence, setup guide, video tutorials (YouTube shorts); (3) Developed pricing strategy: Starter ($29/mo), Professional ($79/mo), Enterprise (custom); (4) Set up beta user program: recruited 5 small businesses for 3-month free trial; (5) Wrote product blog post on scheduling pain points in SMB services sector. Created social media content (LinkedIn, Twitter) targeting salon owners and clinic managers.</w:t>
            </w:r>
          </w:p>
        </w:tc>
        <w:tc>
          <w:tcPr>
            <w:tcW w:type="dxa" w:w="3026"/>
          </w:tcPr>
          <w:p>
            <w:r>
              <w:rPr>
                <w:rFonts w:ascii="Calibri" w:hAnsi="Calibri"/>
                <w:color w:val="000000"/>
                <w:sz w:val="22"/>
              </w:rPr>
              <w:t>Product marketing, go-to-market strategy, customer acquisition, content marketing, SaaS pricing strategy</w:t>
            </w:r>
          </w:p>
        </w:tc>
      </w:tr>
      <w:tr>
        <w:tc>
          <w:tcPr>
            <w:tcW w:type="dxa" w:w="1200"/>
          </w:tcPr>
          <w:p>
            <w:r>
              <w:rPr>
                <w:rFonts w:ascii="Calibri" w:hAnsi="Calibri"/>
                <w:color w:val="000000"/>
                <w:sz w:val="22"/>
              </w:rPr>
              <w:t>27 May 2026</w:t>
            </w:r>
          </w:p>
        </w:tc>
        <w:tc>
          <w:tcPr>
            <w:tcW w:type="dxa" w:w="4800"/>
          </w:tcPr>
          <w:p>
            <w:r>
              <w:rPr>
                <w:rFonts w:ascii="Calibri" w:hAnsi="Calibri"/>
                <w:color w:val="000000"/>
                <w:sz w:val="22"/>
              </w:rPr>
              <w:t>Capstone Reflection — Informatics &amp; Analytics Application to Product Development</w:t>
              <w:br/>
              <w:t>Reflected on 8-month journey blending Lynia Finance industrial attachment with personal SaaS product development: (1) Lynia Finance experience provided fintech regulatory knowledge, API integration frameworks, investor-grade financial modeling, and AWS infrastructure patterns; (2) Portfolio website synthesized technical and non-technical skills for professional positioning; (3) SlotiFlow SaaS application combined analytics (appointment trends, revenue forecasting), database design (normalized schema), and product management. Documented competencies developed across attachment and personal projects: cloud architecture, financial modeling, full-stack development, SaaS economics, product strategy. Identified key learnings: importance of user testing, iterative development, regulatory compliance in fintech, and cross-functional thinking. Prepared for transition to post-graduation professional role leveraging both corporate fintech experience and entrepreneurial SaaS product validation.</w:t>
            </w:r>
          </w:p>
        </w:tc>
        <w:tc>
          <w:tcPr>
            <w:tcW w:type="dxa" w:w="3026"/>
          </w:tcPr>
          <w:p>
            <w:r>
              <w:rPr>
                <w:rFonts w:ascii="Calibri" w:hAnsi="Calibri"/>
                <w:color w:val="000000"/>
                <w:sz w:val="22"/>
              </w:rPr>
              <w:t>Professional reflection, competency integration, cross-functional product thinking, entrepreneurship, career planning</w:t>
            </w:r>
          </w:p>
        </w:tc>
      </w:tr>
    </w:tbl>
    <w:p>
      <w:r>
        <w:rPr>
          <w:rFonts w:ascii="Calibri" w:hAnsi="Calibri"/>
          <w:b w:val="0"/>
          <w:i w:val="0"/>
          <w:color w:val="000000"/>
          <w:sz w:val="24"/>
        </w:rPr>
        <w:br/>
        <w:t xml:space="preserve"/>
      </w:r>
    </w:p>
    <w:p>
      <w:pPr>
        <w:pStyle w:val="Heading1"/>
        <w:spacing w:before="200" w:after="160"/>
      </w:pPr>
      <w:r>
        <w:rPr>
          <w:rFonts w:ascii="Calibri" w:cs="Arial" w:eastAsia="Arial" w:hAnsi="Calibri"/>
          <w:b w:val="0"/>
          <w:bCs/>
          <w:i w:val="0"/>
          <w:color w:val="000000"/>
          <w:sz w:val="24"/>
          <w:szCs w:val="36"/>
        </w:rPr>
        <w:t xml:space="preserve">Summary of Experience</w:t>
      </w:r>
    </w:p>
    <w:p>
      <w:pPr>
        <w:spacing w:after="200" w:line="360" w:lineRule="auto"/>
      </w:pPr>
      <w:r>
        <w:rPr>
          <w:rFonts w:ascii="Calibri" w:cs="Arial" w:eastAsia="Arial" w:hAnsi="Calibri"/>
          <w:b w:val="0"/>
          <w:i w:val="0"/>
          <w:color w:val="000000"/>
          <w:sz w:val="24"/>
          <w:szCs w:val="19"/>
        </w:rPr>
        <w:t xml:space="preserve">Over the course of this twenty-six-week industrial attachment at Lynia Finance, I was embedded as a founding team contributor in the development of a regulated, WhatsApp-first financial services platform targeting Zimbabwe's underbanked and informal economy workforce. The experience was distinguished by the rare opportunity to engage with every layer of a production-grade fintech stack simultaneously: from normalising PostgreSQL schemas and configuring AWS Lambda microservice event-driven architectures, to constructing investor-grade financial models grounded in primary RBZ and ZIMSTAT data, to designing API integration frameworks for Zimbabwe's dominant mobile money providers. Working across these domains concurrently demanded a continuous translation between technical and commercial contexts — a discipline central to the field of Informatics and Analytics. The analytical work undertaken — including three multi-product financial models, a 11-sheet TAM/SAM/SOM market sizing study, a competitive rate benchmarking analysis, and a comprehensive mobile money partner discovery framework — produced materials that now constitute Lynia Finance's investor data room ahead of its first formal venture capital engagement. In parallel, the systems work resulted in a formally audited admin panel, a structured Fineract core banking integration roadmap, and documented API integration specifications for EcoCash, InnBucks, and O'mari. This attachment demonstrated that building startup infrastructure from the ground up is fundamentally an informatics challenge: it requires systematic data modelling, rigorous analytical reasoning, and an ability to synthesise fragmented information — from trade data, central bank publications, and global microfinance benchmarks — into coherent, decision-ready outputs. The experience has substantially deepened my competencies in financial systems design, cloud-native architecture, alternative credit analytics, and the regulatory frameworks governing digital lending in Zimbabwe, and has prepared me for advanced professional roles at the intersection of data science, financial technology, and emerging market development.</w:t>
      </w:r>
    </w:p>
    <w:p>
      <w:pPr>
        <w:pStyle w:val="Heading2"/>
        <w:spacing w:before="280" w:after="120"/>
      </w:pPr>
      <w:r>
        <w:rPr>
          <w:rFonts w:ascii="Calibri" w:cs="Arial" w:eastAsia="Arial" w:hAnsi="Calibri"/>
          <w:b w:val="0"/>
          <w:bCs/>
          <w:i w:val="0"/>
          <w:color w:val="000000"/>
          <w:sz w:val="24"/>
          <w:szCs w:val="26"/>
        </w:rPr>
        <w:t xml:space="preserve">Declaration</w:t>
      </w:r>
    </w:p>
    <w:p>
      <w:pPr>
        <w:spacing w:after="120" w:line="340" w:lineRule="auto"/>
      </w:pPr>
      <w:r>
        <w:rPr>
          <w:rFonts w:ascii="Calibri" w:cs="Arial" w:eastAsia="Arial" w:hAnsi="Calibri"/>
          <w:b w:val="0"/>
          <w:i w:val="0"/>
          <w:color w:val="000000"/>
          <w:sz w:val="24"/>
          <w:szCs w:val="18"/>
        </w:rPr>
        <w:t xml:space="preserve">I hereby declare that the information recorded in this logbook is a true and accurate account of the industrial attachment work performed at Lynia Finance (Pvt) Ltd during the period October 2025 to March 2026.</w:t>
      </w:r>
    </w:p>
    <w:p>
      <w:pPr>
        <w:spacing w:before="300" w:after="60"/>
      </w:pPr>
      <w:r>
        <w:rPr>
          <w:rFonts w:ascii="Calibri" w:cs="Arial" w:eastAsia="Arial" w:hAnsi="Calibri"/>
          <w:b w:val="0"/>
          <w:i w:val="0"/>
          <w:color w:val="000000"/>
          <w:sz w:val="24"/>
          <w:szCs w:val="18"/>
        </w:rPr>
        <w:t xml:space="preserve">Student Signature: ___________________________</w:t>
      </w:r>
    </w:p>
    <w:p>
      <w:pPr>
        <w:spacing w:after="60"/>
      </w:pPr>
      <w:r>
        <w:rPr>
          <w:rFonts w:ascii="Calibri" w:cs="Arial" w:eastAsia="Arial" w:hAnsi="Calibri"/>
          <w:b w:val="0"/>
          <w:i w:val="0"/>
          <w:color w:val="000000"/>
          <w:sz w:val="24"/>
          <w:szCs w:val="18"/>
        </w:rPr>
        <w:t xml:space="preserve">Date: ___________________________</w:t>
      </w:r>
    </w:p>
    <w:p>
      <w:pPr>
        <w:spacing w:before="200" w:after="60"/>
      </w:pPr>
      <w:r>
        <w:rPr>
          <w:rFonts w:ascii="Calibri" w:cs="Arial" w:eastAsia="Arial" w:hAnsi="Calibri"/>
          <w:b w:val="0"/>
          <w:i w:val="0"/>
          <w:color w:val="000000"/>
          <w:sz w:val="24"/>
          <w:szCs w:val="18"/>
        </w:rPr>
        <w:t xml:space="preserve">Industrial Supervisor Signature: ___________________________</w:t>
      </w:r>
    </w:p>
    <w:p>
      <w:pPr>
        <w:spacing w:after="60"/>
      </w:pPr>
      <w:r>
        <w:rPr>
          <w:rFonts w:ascii="Calibri" w:cs="Arial" w:eastAsia="Arial" w:hAnsi="Calibri"/>
          <w:b w:val="0"/>
          <w:i w:val="0"/>
          <w:color w:val="000000"/>
          <w:sz w:val="24"/>
          <w:szCs w:val="18"/>
        </w:rPr>
        <w:t xml:space="preserve">Date: ___________________________</w:t>
      </w:r>
    </w:p>
    <w:p>
      <w:pPr>
        <w:spacing w:before="200" w:after="60"/>
      </w:pPr>
      <w:r>
        <w:rPr>
          <w:rFonts w:ascii="Calibri" w:cs="Arial" w:eastAsia="Arial" w:hAnsi="Calibri"/>
          <w:b w:val="0"/>
          <w:i w:val="0"/>
          <w:color w:val="000000"/>
          <w:sz w:val="24"/>
          <w:szCs w:val="18"/>
        </w:rPr>
        <w:t xml:space="preserve">Company Stamp:</w:t>
      </w:r>
    </w:p>
    <w:sectPr>
      <w:headerReference w:type="default" r:id="rId6"/>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6E6E" w:sz="6" w:space="4"/>
      </w:pBdr>
      <w:tabs>
        <w:tab w:val="right" w:pos="9026"/>
      </w:tabs>
      <w:spacing w:before="80"/>
    </w:pPr>
    <w:r>
      <w:rPr>
        <w:rFonts w:ascii="Arial" w:cs="Arial" w:eastAsia="Arial" w:hAnsi="Arial"/>
        <w:color w:val="4A5568"/>
        <w:sz w:val="16"/>
        <w:szCs w:val="16"/>
      </w:rPr>
      <w:t xml:space="preserve">BSc Informatics &amp; Analytics  |  October 2025 – March 2026</w:t>
    </w:r>
    <w:r>
      <w:rPr>
        <w:rFonts w:ascii="Arial" w:cs="Arial" w:eastAsia="Arial" w:hAnsi="Arial"/>
        <w:color w:val="4A5568"/>
        <w:sz w:val="16"/>
        <w:szCs w:val="16"/>
      </w:rPr>
      <w:t xml:space="preserve">	Page </w:t>
    </w:r>
    <w:r>
      <w:rPr>
        <w:rFonts w:ascii="Arial" w:cs="Arial" w:eastAsia="Arial" w:hAnsi="Arial"/>
        <w:color w:val="4A556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D6E6E" w:sz="6" w:space="4"/>
      </w:pBdr>
      <w:spacing w:after="80"/>
    </w:pPr>
    <w:r>
      <w:rPr>
        <w:rFonts w:ascii="Arial" w:cs="Arial" w:eastAsia="Arial" w:hAnsi="Arial"/>
        <w:color w:val="4A5568"/>
        <w:sz w:val="16"/>
        <w:szCs w:val="16"/>
      </w:rPr>
      <w:t xml:space="preserve">LYNIA FINANCE   |   Industrial Attachment Logbook   |   National University of Science and Technology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sz w:val="32"/>
      <w:szCs w:val="32"/>
    </w:rPr>
  </w:style>
  <w:style w:type="paragraph" w:styleId="Heading2">
    <w:name w:val="Heading 2"/>
    <w:basedOn w:val="Normal"/>
    <w:next w:val="Normal"/>
    <w:qFormat/>
    <w:rPr>
      <w:sz w:val="26"/>
      <w:szCs w:val="26"/>
    </w:rPr>
  </w:style>
  <w:style w:type="paragraph" w:styleId="Heading3">
    <w:name w:val="Heading 3"/>
    <w:basedOn w:val="Normal"/>
    <w:next w:val="Normal"/>
    <w:qFormat/>
    <w:rPr>
      <w:sz w:val="24"/>
      <w:szCs w:val="24"/>
    </w:rPr>
  </w:style>
  <w:style w:type="paragraph" w:styleId="Heading4">
    <w:name w:val="Heading 4"/>
    <w:basedOn w:val="Normal"/>
    <w:next w:val="Normal"/>
    <w:qFormat/>
    <w:rPr>
      <w:i/>
      <w:iCs/>
    </w:rPr>
  </w:style>
  <w:style w:type="paragraph" w:styleId="Heading5">
    <w:name w:val="Heading 5"/>
    <w:basedOn w:val="Normal"/>
    <w:next w:val="Normal"/>
    <w:qFormat/>
    <w:rPr/>
  </w:style>
  <w:style w:type="paragraph" w:styleId="Heading6">
    <w:name w:val="Heading 6"/>
    <w:basedOn w:val="Normal"/>
    <w:next w:val="Normal"/>
    <w:qFormat/>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80" w:after="160"/>
      <w:outlineLvl w:val="0"/>
    </w:pPr>
    <w:rPr>
      <w:rFonts w:ascii="Arial" w:cs="Arial" w:eastAsia="Arial" w:hAnsi="Arial"/>
      <w:b/>
      <w:bCs/>
      <w:sz w:val="36"/>
      <w:szCs w:val="36"/>
    </w:rPr>
  </w:style>
  <w:style w:type="paragraph" w:styleId="Heading2">
    <w:name w:val="Heading 2"/>
    <w:basedOn w:val="Normal"/>
    <w:next w:val="Normal"/>
    <w:qFormat/>
    <w:pPr>
      <w:spacing w:before="240" w:after="120"/>
      <w:outlineLvl w:val="1"/>
    </w:pPr>
    <w:rPr>
      <w:rFonts w:ascii="Arial" w:cs="Arial" w:eastAsia="Arial" w:hAnsi="Arial"/>
      <w:b/>
      <w:bCs/>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2026-03-27T13:35:51.946Z</dcterms:created>
  <dcterms:modified xsi:type="dcterms:W3CDTF">2026-03-27T13:35:51.947Z</dcterms:modified>
</cp:coreProperties>
</file>

<file path=docProps/custom.xml><?xml version="1.0" encoding="utf-8"?>
<Properties xmlns="http://schemas.openxmlformats.org/officeDocument/2006/custom-properties" xmlns:vt="http://schemas.openxmlformats.org/officeDocument/2006/docPropsVTypes"/>
</file>