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79242441" w:displacedByCustomXml="next"/>
    <w:bookmarkStart w:id="2" w:name="_Toc98852976"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Machine learning model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r w:rsidRPr="004A74BD">
            <w:rPr>
              <w:b/>
              <w:spacing w:val="-3"/>
              <w:szCs w:val="24"/>
            </w:rPr>
            <w:t>by</w:t>
          </w:r>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(Honours)</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r>
            <w:rPr>
              <w:rFonts w:hint="eastAsia"/>
            </w:rPr>
            <w:t>XX</w:t>
          </w:r>
          <w:r w:rsidR="00233DFD">
            <w:t>d</w:t>
          </w:r>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“SkinThickness”</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have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r w:rsidR="00014A14">
        <w:rPr>
          <w:rFonts w:hint="eastAsia"/>
          <w:sz w:val="28"/>
          <w:szCs w:val="36"/>
        </w:rPr>
        <w:t xml:space="preserve"> (each section write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Diabetes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(why u want to do this project?</w:t>
      </w:r>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achieved in this project? (e.g. proof that xx is more better / try to used another method that is rarely used in research paper to see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List how neural network work on Diabetes prediction (Maybe can write it?) /</w:t>
      </w:r>
      <w:r w:rsidR="001569C6">
        <w:rPr>
          <w:sz w:val="28"/>
          <w:szCs w:val="36"/>
        </w:rPr>
        <w:t>List the method used in reference paper (baseline)</w:t>
      </w:r>
      <w:r w:rsidR="008C4694">
        <w:rPr>
          <w:sz w:val="28"/>
          <w:szCs w:val="36"/>
        </w:rPr>
        <w:t xml:space="preserve"> )</w:t>
      </w:r>
      <w:bookmarkEnd w:id="13"/>
    </w:p>
    <w:p w14:paraId="64813FFB" w14:textId="77777777" w:rsidR="00906928" w:rsidRDefault="00906928" w:rsidP="00B228F9">
      <w:pPr>
        <w:spacing w:after="0"/>
      </w:pPr>
      <w:r>
        <w:t>Before the widespread of Gradient Boosting, there were studies based on traditional machine learning algorithms to do the classification task. For example, Abdillah and Suwarno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Tasin et al. [23] proposed a method based on eXtreme Gradient Boosting (XGBoost) on the Pima Indian Diabetes dataset. XGBoost is a robust machine-learning algorithm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Qin et al. [26] proposed a method based on CatBoost on the 2013-2014 NHANES dataset. In the preprocessing, they used ADASYN and One-Hot encoding to solve the class imbalance and categorical features, respectively. Also, they compared five machine learning models, which were XGBoost, CatBoost, Support Vector Machine. Random Forest and Logistic Regression, of which CatBoost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r>
        <w:rPr>
          <w:lang w:val="en-US"/>
        </w:rPr>
        <w:t>XGBoost</w:t>
      </w:r>
      <w:bookmarkEnd w:id="16"/>
    </w:p>
    <w:p w14:paraId="3E1CE20F" w14:textId="28081CD7" w:rsidR="00161B15" w:rsidRPr="00161B15" w:rsidRDefault="00D207BC" w:rsidP="00821BF7">
      <w:r w:rsidRPr="00D207BC">
        <w:t>XGBoost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XGBoost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r>
        <w:rPr>
          <w:lang w:val="en-US"/>
        </w:rPr>
        <w:t>CatBoost</w:t>
      </w:r>
      <w:bookmarkEnd w:id="17"/>
    </w:p>
    <w:p w14:paraId="5E866750" w14:textId="685383C1" w:rsidR="00161B15" w:rsidRPr="00BE085B" w:rsidRDefault="00D207BC" w:rsidP="00D207BC">
      <w:r w:rsidRPr="00D207BC">
        <w:t>CatBoost is a machine learning algorithm based on a gradient boosting framework and decision tree, similar to XGBoost. Compared with XGBoost, CatBoost is better at handling categorical features because it uses ordered encoding to encode categorical variables [29], which can handle overfitting and improve the model performance. In addition, Hancock and Khoshgoftaar [30] commented that CatBoost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 ; why choose that component in the proposed framework?(e.g. improve acc? / </w:t>
      </w:r>
      <w:r w:rsidR="009430E9">
        <w:t>Convenient</w:t>
      </w:r>
      <w:r w:rsidR="00944EDD">
        <w:t xml:space="preserve">? / haven’t used in </w:t>
      </w:r>
      <w:r w:rsidR="00F34D53">
        <w:t>research paper? (most of paper use polynomial regression)</w:t>
      </w:r>
      <w:r w:rsidR="00573423">
        <w:t xml:space="preserve"> </w:t>
      </w:r>
      <w:r w:rsidR="00F34D53">
        <w:t>)</w:t>
      </w:r>
      <w:bookmarkEnd w:id="18"/>
    </w:p>
    <w:p w14:paraId="054D7AD0" w14:textId="42B7E6A2" w:rsidR="00161B15" w:rsidRPr="00DA1831" w:rsidRDefault="00DA1831" w:rsidP="002A4B04">
      <w:pPr>
        <w:ind w:firstLine="0"/>
        <w:jc w:val="center"/>
      </w:pPr>
      <w:r>
        <w:t>Fi</w:t>
      </w:r>
      <w:r w:rsidR="002A4B04">
        <w:t>gure</w:t>
      </w:r>
      <w:r>
        <w:t xml:space="preserve"> </w:t>
      </w:r>
      <w:r w:rsidR="00325F0E">
        <w:t>2</w:t>
      </w:r>
      <w:r>
        <w:t xml:space="preserve">: </w:t>
      </w:r>
      <w:r>
        <w:t>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make adjustments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r>
              <w:t>SkinThickness</w:t>
            </w:r>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r w:rsidRPr="0093134F">
        <w:t xml:space="preserve">BloodPressure: </w:t>
      </w:r>
      <w:r w:rsidR="004F22DC">
        <w:t>i</w:t>
      </w:r>
      <w:r w:rsidR="004F22DC" w:rsidRPr="004F22DC">
        <w:t>t means the heart beats and pumps blood into the arteries [8] that deliver oxygen and nutrients into the body. It is considered moderate if systolic and diastolic pressure are less than 120 and 80 [9]. In the dataset, BloodPressure used diastolic blood pressure as the unit to measure blood pressure. The median value of BloodPressure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r w:rsidRPr="00B9628B">
        <w:t xml:space="preserve">SkinThickness: In general, it measures body fat on thighs and limbs. In the dataset, triceps (the back of the upper arm) </w:t>
      </w:r>
      <w:r w:rsidR="00FF68B4">
        <w:t>was</w:t>
      </w:r>
      <w:r w:rsidRPr="00B9628B">
        <w:t xml:space="preserve"> used to estimate the body fat. The average triceps skin thickness of human and women are 18.7 ± 8.5 mm and 23.6 ± 7.5 mm respectively [11]. It is noteworthy that all the participants in the dataset are females and the median value of SkinThickness</w:t>
      </w:r>
      <w:r w:rsidR="00FD1815">
        <w:t xml:space="preserve"> before preprocessing</w:t>
      </w:r>
      <w:r w:rsidRPr="00B9628B">
        <w:t xml:space="preserve"> is 23</w:t>
      </w:r>
      <w:r w:rsidR="00172817">
        <w:t xml:space="preserve"> mm</w:t>
      </w:r>
      <w:r w:rsidRPr="00B9628B">
        <w:t>, which is similar to the measurement on triceps skin thickness above. In addition, Särnblad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(Intake day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r>
              <w:t>take in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r w:rsidRPr="00084661">
        <w:t>Demographic</w:t>
      </w:r>
      <w:r w:rsidR="00E860EE">
        <w:t xml:space="preserve"> </w:t>
      </w:r>
      <w:r w:rsidR="00414063">
        <w:t>is</w:t>
      </w:r>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features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(Intake day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Collecting these biological samples aims to provide objective and quantifiable measures of health and nutrition to enable the researchers to understand participants’ nutritional status and health conditions. LBXGLT (Glucose) and LBXIN (Insulin) were selected features in the experiment. They are used in data preprocessing since these selected features are the same as those provided in the Pima Indian Diabetes dataset.</w:t>
      </w:r>
    </w:p>
    <w:p w14:paraId="50146655" w14:textId="2D50D75E" w:rsidR="00A03A47" w:rsidRDefault="005B26A0" w:rsidP="004E0A07">
      <w:r w:rsidRPr="005B26A0">
        <w:t xml:space="preserve">Questionnaire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similar to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1084CE42" w14:textId="0BC6E750" w:rsidR="00A03A47" w:rsidRDefault="000A51C7" w:rsidP="00A03A47">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BAFA313" w14:textId="172154BF" w:rsidR="00011CE7" w:rsidRDefault="002F1B1F" w:rsidP="002F1B1F">
      <w:r>
        <w:rPr>
          <w:rFonts w:hint="eastAsia"/>
        </w:rPr>
        <w:t>xx</w:t>
      </w:r>
    </w:p>
    <w:p w14:paraId="5CA869E2" w14:textId="7D348748" w:rsidR="00F87807" w:rsidRDefault="00F87807" w:rsidP="002F1B1F">
      <w:pPr>
        <w:pStyle w:val="2"/>
      </w:pPr>
      <w:bookmarkStart w:id="25" w:name="_Toc193140585"/>
      <w:r>
        <w:t>Data Preprocessing on Pima Indian Diabetes dataset:</w:t>
      </w:r>
      <w:bookmarkEnd w:id="25"/>
    </w:p>
    <w:p w14:paraId="58681E67" w14:textId="71D64F14" w:rsidR="00905D35" w:rsidRDefault="001C65AB" w:rsidP="002F1B1F">
      <w:r w:rsidRPr="001C65AB">
        <w:t xml:space="preserve">The </w:t>
      </w:r>
    </w:p>
    <w:p w14:paraId="63A6F6A8" w14:textId="44FFDE34" w:rsidR="0031528E" w:rsidRDefault="0031528E">
      <w:pPr>
        <w:spacing w:after="0" w:line="240" w:lineRule="auto"/>
        <w:ind w:firstLine="0"/>
        <w:jc w:val="left"/>
      </w:pPr>
      <w:r>
        <w:br w:type="page"/>
      </w:r>
    </w:p>
    <w:p w14:paraId="3838F4B1" w14:textId="1CD25716" w:rsidR="0031528E" w:rsidRDefault="0031528E" w:rsidP="00E003E7">
      <w:pPr>
        <w:pStyle w:val="2"/>
      </w:pPr>
      <w:bookmarkStart w:id="26" w:name="_Toc193140586"/>
      <w:r>
        <w:lastRenderedPageBreak/>
        <w:t>Data Preprocessing on NHANES dataset:</w:t>
      </w:r>
      <w:bookmarkEnd w:id="26"/>
    </w:p>
    <w:p w14:paraId="56D207FC" w14:textId="1E5BCE51" w:rsidR="0082080C" w:rsidRDefault="0082080C" w:rsidP="002F1B1F">
      <w:r w:rsidRPr="005B7856">
        <w:t>S</w:t>
      </w:r>
      <w:r w:rsidR="002F1B1F">
        <w:rPr>
          <w:rFonts w:hint="eastAsia"/>
        </w:rPr>
        <w:t>xx</w:t>
      </w:r>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7" w:name="_Toc193140587"/>
      <w:r>
        <w:rPr>
          <w:sz w:val="28"/>
          <w:szCs w:val="36"/>
        </w:rPr>
        <w:lastRenderedPageBreak/>
        <w:t>R</w:t>
      </w:r>
      <w:r w:rsidR="006D2FBD">
        <w:rPr>
          <w:sz w:val="28"/>
          <w:szCs w:val="36"/>
        </w:rPr>
        <w:t>esult</w:t>
      </w:r>
      <w:r w:rsidR="00A53809">
        <w:rPr>
          <w:sz w:val="28"/>
          <w:szCs w:val="36"/>
        </w:rPr>
        <w:t xml:space="preserve"> (list the result [acc/auc/precision..] / </w:t>
      </w:r>
      <w:r w:rsidR="003055E2">
        <w:rPr>
          <w:sz w:val="28"/>
          <w:szCs w:val="36"/>
        </w:rPr>
        <w:t xml:space="preserve">list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7"/>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8" w:name="_Toc193140588"/>
      <w:r>
        <w:rPr>
          <w:sz w:val="28"/>
          <w:szCs w:val="36"/>
        </w:rPr>
        <w:t>Discussion</w:t>
      </w:r>
      <w:r w:rsidR="00A53809">
        <w:rPr>
          <w:sz w:val="28"/>
          <w:szCs w:val="36"/>
        </w:rPr>
        <w:t xml:space="preserve"> (what u find/observe in the experiment)</w:t>
      </w:r>
      <w:bookmarkEnd w:id="28"/>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9" w:name="_Toc193140589"/>
      <w:r>
        <w:rPr>
          <w:sz w:val="28"/>
          <w:szCs w:val="36"/>
        </w:rPr>
        <w:t>Conclusion</w:t>
      </w:r>
      <w:r w:rsidR="00A53809">
        <w:rPr>
          <w:sz w:val="28"/>
          <w:szCs w:val="36"/>
        </w:rPr>
        <w:t xml:space="preserve"> (summarize what u achieved in the prj &amp; any improvements / future work)</w:t>
      </w:r>
      <w:bookmarkEnd w:id="29"/>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0" w:name="_Toc193140590"/>
      <w:r w:rsidRPr="0068715A">
        <w:rPr>
          <w:sz w:val="28"/>
          <w:szCs w:val="28"/>
        </w:rPr>
        <w:lastRenderedPageBreak/>
        <w:t>References</w:t>
      </w:r>
      <w:bookmarkEnd w:id="30"/>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N. G. Forouhi, A. Misra, V. Mohan, R. Taylor, and W. Yancy, “Dietary and nutritional approaches for prevention and management of type 2 diabetes,” BMJ (Online), vol. 361, pp. k2234–k2234, 2018, doi: 10.1136/bmj.k2234</w:t>
      </w:r>
      <w:r>
        <w:rPr>
          <w:spacing w:val="-2"/>
          <w:sz w:val="22"/>
        </w:rPr>
        <w:t xml:space="preserve"> </w:t>
      </w:r>
      <w:r w:rsidRPr="0095013F">
        <w:rPr>
          <w:spacing w:val="-2"/>
          <w:sz w:val="22"/>
        </w:rPr>
        <w:t>[</w:t>
      </w:r>
      <w:r>
        <w:rPr>
          <w:sz w:val="22"/>
        </w:rPr>
        <w:t xml:space="preserve">Accessed </w:t>
      </w:r>
      <w:bookmarkStart w:id="31" w:name="_Hlk192882989"/>
      <w:r>
        <w:rPr>
          <w:rFonts w:eastAsiaTheme="minorEastAsia"/>
          <w:sz w:val="22"/>
        </w:rPr>
        <w:t>Mar</w:t>
      </w:r>
      <w:r>
        <w:rPr>
          <w:sz w:val="22"/>
        </w:rPr>
        <w:t xml:space="preserve">. </w:t>
      </w:r>
      <w:r>
        <w:rPr>
          <w:rFonts w:eastAsiaTheme="minorEastAsia"/>
          <w:sz w:val="22"/>
        </w:rPr>
        <w:t>12</w:t>
      </w:r>
      <w:bookmarkEnd w:id="31"/>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L. L. J. Koppes, J. M. Dekker, H. F. J. Hendriks, L. M. Bouter, and R. J. Heine, “Moderate Alcohol Consumption Lowers the Risk of Type 2 Diabetes: A meta-analysis of prospective observational studies,” Diabetes care, vol. 28, no. 3, pp. 719–725, 2005, doi: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vol. 8, no. 11, pp. 639–649, 2012, doi: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r w:rsidRPr="00A55870">
        <w:rPr>
          <w:sz w:val="22"/>
        </w:rPr>
        <w:t>Healthline ,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E. Eyth, H. Basit and C.J. Swift, "Glucose Tolerance Test, "in StatPearls [Internet]. Treasure Island (FL): StatPearls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What Is High Blood Pressure?</w:t>
      </w:r>
      <w:r w:rsidR="00C7779E">
        <w:rPr>
          <w:sz w:val="22"/>
        </w:rPr>
        <w:t>,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vol. 9, pp. 858994–858994, 2022, doi: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S. Särnblad, A. Magnuson, U. Ekelund, and J. Åman, “Body fat measurement in adolescent girls with type 1 diabetes: a comparison of skinfold equations against dual-energy X-ray absorptiometry,” </w:t>
      </w:r>
      <w:r w:rsidRPr="002814B7">
        <w:rPr>
          <w:i/>
          <w:iCs/>
          <w:sz w:val="22"/>
        </w:rPr>
        <w:t>Acta Paediatrica</w:t>
      </w:r>
      <w:r w:rsidRPr="002814B7">
        <w:rPr>
          <w:sz w:val="22"/>
        </w:rPr>
        <w:t>, vol. 105, no. 10, pp. 1211–1215, 2016, doi: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What is Diabetes?</w:t>
      </w:r>
      <w:r w:rsidR="00B86D4D">
        <w:rPr>
          <w:sz w:val="22"/>
        </w:rPr>
        <w:t>,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202</w:t>
      </w:r>
      <w:r w:rsidR="00C2630F">
        <w:rPr>
          <w:sz w:val="22"/>
        </w:rPr>
        <w:t>1</w:t>
      </w:r>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202</w:t>
      </w:r>
      <w:r w:rsidR="00C2630F">
        <w:rPr>
          <w:sz w:val="22"/>
        </w:rPr>
        <w:t>1?</w:t>
      </w:r>
      <w:r w:rsidR="00B379BB">
        <w:rPr>
          <w:sz w:val="22"/>
        </w:rPr>
        <w:t>.</w:t>
      </w:r>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Abdul Azis Abdillah and Suwarno Suwarno, “Diagnosis of Diabetes Using Support Vector Machines with Radial Basis Function Kernels,” </w:t>
      </w:r>
      <w:r w:rsidRPr="00756B21">
        <w:rPr>
          <w:i/>
          <w:iCs/>
          <w:sz w:val="22"/>
        </w:rPr>
        <w:t>International Journal of Technology</w:t>
      </w:r>
      <w:r w:rsidRPr="00756B21">
        <w:rPr>
          <w:sz w:val="22"/>
        </w:rPr>
        <w:t>, vol. 7, no. 5, pp. 849–858, 2016, doi: 10.14716/ijtech.v7i5.1893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I. Tasin, T. U. Nabil, S. Islam, and R. Khan, “Diabetes prediction using machine learning and explainable AI techniques,” Healthcare technology letters, vol. 10, no. 1–2, pp. 1–10, 2023, doi: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K. Aditya Shastry et al., “Regression Based Data Pre-processing Technique for Predicting Missing Values,” in Emerging Research in Computing, Information, Communication and Applications, Singapore: Springer Singapore Pte. Limited, 2021, pp. 95–102. doi: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Y. Qin et al., “Machine Learning Models for Data-Driven Prediction of Diabetes by Lifestyle Type,” International journal of environmental research and public health, vol. 19, no. 22, pp. 15027-, 2022, doi: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2"/>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[27] W. Chen et al., “Modeling flood susceptibility using data-driven approaches of naïve Bayes tree, alternating decision tree, and random forest methods,” The Science of the total environment, vol. 701, pp. 134979–134979, 2020, doi: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DMLC XGBoost</w:t>
      </w:r>
      <w:r w:rsidRPr="00961D11">
        <w:rPr>
          <w:sz w:val="22"/>
        </w:rPr>
        <w:t>,</w:t>
      </w:r>
      <w:r>
        <w:rPr>
          <w:sz w:val="22"/>
        </w:rPr>
        <w:t xml:space="preserve"> </w:t>
      </w:r>
      <w:r w:rsidRPr="00AD3718">
        <w:rPr>
          <w:sz w:val="22"/>
        </w:rPr>
        <w:t>XGBoost Documentation</w:t>
      </w:r>
      <w:r>
        <w:rPr>
          <w:sz w:val="22"/>
        </w:rPr>
        <w:t>, 2022?.</w:t>
      </w:r>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How CatBoost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J. T. Hancock and T. M. Khoshgoftaar, “CatBoost for big data: an interdisciplinary review,” Journal of big data, vol. 7, no. 1, pp. 94–94, 2020, doi: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[ebook].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What is Feature Scaling and Why Does Machine Learning Need It?</w:t>
      </w:r>
      <w:r>
        <w:rPr>
          <w:sz w:val="22"/>
        </w:rPr>
        <w:t>, 202</w:t>
      </w:r>
      <w:r>
        <w:rPr>
          <w:sz w:val="22"/>
        </w:rPr>
        <w:t>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6D3B6" w14:textId="77777777" w:rsidR="00154BC9" w:rsidRDefault="00154BC9" w:rsidP="00491C2C">
      <w:r>
        <w:separator/>
      </w:r>
    </w:p>
  </w:endnote>
  <w:endnote w:type="continuationSeparator" w:id="0">
    <w:p w14:paraId="084E2AFC" w14:textId="77777777" w:rsidR="00154BC9" w:rsidRDefault="00154BC9"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89704" w14:textId="77777777" w:rsidR="00154BC9" w:rsidRDefault="00154BC9" w:rsidP="00491C2C">
      <w:r>
        <w:separator/>
      </w:r>
    </w:p>
  </w:footnote>
  <w:footnote w:type="continuationSeparator" w:id="0">
    <w:p w14:paraId="7195A839" w14:textId="77777777" w:rsidR="00154BC9" w:rsidRDefault="00154BC9"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E11"/>
    <w:rsid w:val="0004108E"/>
    <w:rsid w:val="000410CF"/>
    <w:rsid w:val="000414A8"/>
    <w:rsid w:val="000414B4"/>
    <w:rsid w:val="000419F1"/>
    <w:rsid w:val="00041AB1"/>
    <w:rsid w:val="00041AEF"/>
    <w:rsid w:val="00041D82"/>
    <w:rsid w:val="00041FBD"/>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618"/>
    <w:rsid w:val="0013468B"/>
    <w:rsid w:val="001346F3"/>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B49"/>
    <w:rsid w:val="00244CC5"/>
    <w:rsid w:val="00244ED4"/>
    <w:rsid w:val="00245078"/>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437"/>
    <w:rsid w:val="004B0A39"/>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611"/>
    <w:rsid w:val="00566686"/>
    <w:rsid w:val="005669DA"/>
    <w:rsid w:val="00566AB6"/>
    <w:rsid w:val="00566B67"/>
    <w:rsid w:val="00566B80"/>
    <w:rsid w:val="00566D66"/>
    <w:rsid w:val="00566D7E"/>
    <w:rsid w:val="00566EFC"/>
    <w:rsid w:val="00566F9A"/>
    <w:rsid w:val="005675BF"/>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0A25"/>
    <w:rsid w:val="006510F8"/>
    <w:rsid w:val="006511E3"/>
    <w:rsid w:val="00651242"/>
    <w:rsid w:val="00651261"/>
    <w:rsid w:val="00651331"/>
    <w:rsid w:val="0065139C"/>
    <w:rsid w:val="00651408"/>
    <w:rsid w:val="0065141B"/>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F6"/>
    <w:rsid w:val="00700853"/>
    <w:rsid w:val="00700885"/>
    <w:rsid w:val="00700AE2"/>
    <w:rsid w:val="00700DCB"/>
    <w:rsid w:val="007011DB"/>
    <w:rsid w:val="0070125E"/>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548"/>
    <w:rsid w:val="008C4694"/>
    <w:rsid w:val="008C4A19"/>
    <w:rsid w:val="008C4E5C"/>
    <w:rsid w:val="008C4E89"/>
    <w:rsid w:val="008C4FD2"/>
    <w:rsid w:val="008C50ED"/>
    <w:rsid w:val="008C52CB"/>
    <w:rsid w:val="008C57D9"/>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728"/>
    <w:rsid w:val="009A072C"/>
    <w:rsid w:val="009A07CB"/>
    <w:rsid w:val="009A07F9"/>
    <w:rsid w:val="009A09D1"/>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D3"/>
    <w:rsid w:val="00A073FB"/>
    <w:rsid w:val="00A074F2"/>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5EF"/>
    <w:rsid w:val="00AB0B33"/>
    <w:rsid w:val="00AB0D48"/>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FF"/>
    <w:rsid w:val="00B10BC0"/>
    <w:rsid w:val="00B10DD0"/>
    <w:rsid w:val="00B10E68"/>
    <w:rsid w:val="00B10EDD"/>
    <w:rsid w:val="00B10FF6"/>
    <w:rsid w:val="00B11290"/>
    <w:rsid w:val="00B11678"/>
    <w:rsid w:val="00B11B69"/>
    <w:rsid w:val="00B11BE5"/>
    <w:rsid w:val="00B11C59"/>
    <w:rsid w:val="00B11ECD"/>
    <w:rsid w:val="00B11F07"/>
    <w:rsid w:val="00B1215C"/>
    <w:rsid w:val="00B121BE"/>
    <w:rsid w:val="00B12795"/>
    <w:rsid w:val="00B127EB"/>
    <w:rsid w:val="00B129FF"/>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52CA"/>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491"/>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583"/>
    <w:rsid w:val="00D0371A"/>
    <w:rsid w:val="00D038BC"/>
    <w:rsid w:val="00D03951"/>
    <w:rsid w:val="00D03B08"/>
    <w:rsid w:val="00D03BB7"/>
    <w:rsid w:val="00D03BFB"/>
    <w:rsid w:val="00D03D9F"/>
    <w:rsid w:val="00D0404B"/>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26</Pages>
  <Words>4347</Words>
  <Characters>24782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841</cp:revision>
  <cp:lastPrinted>2025-03-20T11:14:00Z</cp:lastPrinted>
  <dcterms:created xsi:type="dcterms:W3CDTF">2025-03-11T05:30:00Z</dcterms:created>
  <dcterms:modified xsi:type="dcterms:W3CDTF">2025-03-22T20:30:00Z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