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jc w:val="center"/>
      </w:pPr>
      <w:r>
        <w:rPr>
          <w:rFonts w:ascii="Times New Roman" w:hAnsi="Times New Roman" w:eastAsia="黑体"/>
          <w:b/>
          <w:sz w:val="36"/>
        </w:rPr>
        <w:t>MWIR-Net论文附件</w:t>
      </w:r>
    </w:p>
    <w:p>
      <w:pPr>
        <w:spacing w:lineRule="exact" w:line="40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本附件保存论文图表来源、主要程序文件、运行命令和待补材料说明。主论文正文中的实验数据均来自本地指标汇总、训练日志和输出图像复算记录。</w:t>
      </w:r>
    </w:p>
    <w:p>
      <w:pPr>
        <w:spacing w:lineRule="exact" w:line="400" w:before="0" w:after="0"/>
        <w:jc w:val="left"/>
      </w:pPr>
      <w:r>
        <w:rPr>
          <w:rFonts w:ascii="Times New Roman" w:hAnsi="Times New Roman" w:eastAsia="黑体"/>
          <w:b/>
          <w:sz w:val="32"/>
        </w:rPr>
        <w:t>附件A 图表来源登记</w:t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宋体"/>
          <w:b w:val="0"/>
          <w:sz w:val="24"/>
        </w:rPr>
        <w:t>表A-1 图表来源登记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图号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图题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导出文件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证据来源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图2-1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图2-1 雾雨退化图像示例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figure-2-1-degradation-examples.png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图3-1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图3-1 MWIR-Net总体结构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figure-3-1-mwirnet-architecture.png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图3-2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图3-2 Transformer复原块结构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figure-3-2-transformer-block.png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图3-3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图3-3 天气感知提示模块结构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figure-3-3-prompt-module.png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图3-4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图3-4 自集成推理流程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figure-3-4-tta-workflow.png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图4-1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图4-1 数据准备与实验流程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figure-4-1-experiment-workflow.png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图4-2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图4-2 GT-RAIN真实雨图像示例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figure-4-2-gtrain-examples.png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图4-3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图4-3 训练损失变化曲线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figure-4-3-training-loss.png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图5-1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图5-1 Rain100L去雨视觉对比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figure-5-1-rain-visual.png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图5-2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图5-2 SOTS outdoor去雾视觉对比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figure-5-2-haze-visual.png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图5-3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图5-3 Rain100L主要方法PSNR对比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figure-5-3-rain100l-psnr.png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图5-4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图5-4 SOTS outdoor主要方法PSNR对比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figure-5-4-sots-psnr.png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图5-5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图5-5 多数据集去雨结果对比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figure-5-5-derain-multisplit.png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图5-6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图5-6 Prompt分支消融结果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figure-5-6-ablation.png</w:t>
            </w:r>
          </w:p>
        </w:tc>
        <w:tc>
          <w:tcPr>
            <w:tcW w:type="dxa" w:w="2422"/>
            <w:vAlign w:val="center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本地代码、数据集或指标汇总</w:t>
            </w:r>
          </w:p>
        </w:tc>
      </w:tr>
    </w:tbl>
    <w:p>
      <w:pPr>
        <w:spacing w:lineRule="exact" w:line="400" w:before="0" w:after="0"/>
        <w:jc w:val="left"/>
      </w:pPr>
      <w:r>
        <w:rPr>
          <w:rFonts w:ascii="Times New Roman" w:hAnsi="Times New Roman" w:eastAsia="黑体"/>
          <w:b/>
          <w:sz w:val="32"/>
        </w:rPr>
        <w:t>附件B 主要代码文件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net/mwirnet.py：支撑模型结构、训练、推理、数据读取或指标复算。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train.py：支撑模型结构、训练、推理、数据读取或指标复算。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test.py：支撑模型结构、训练、推理、数据读取或指标复算。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utils/dataset_utils.py：支撑模型结构、训练、推理、数据读取或指标复算。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tools/evaluate_baseline_outputs.py：支撑模型结构、训练、推理、数据读取或指标复算。</w:t>
      </w:r>
    </w:p>
    <w:p>
      <w:pPr>
        <w:spacing w:lineRule="exact" w:line="400" w:before="0" w:after="0"/>
        <w:jc w:val="left"/>
      </w:pPr>
      <w:r>
        <w:rPr>
          <w:rFonts w:ascii="Times New Roman" w:hAnsi="Times New Roman" w:eastAsia="黑体"/>
          <w:b/>
          <w:sz w:val="32"/>
        </w:rPr>
        <w:t>附件C 英文文献翻译状态</w:t>
      </w:r>
    </w:p>
    <w:p>
      <w:pPr>
        <w:spacing w:lineRule="exact" w:line="40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任务书要求提交不低于 5000 汉字的教师指定相关文献英译汉翻译。当前资料中没有提供教师指定英文原文或文献名称，因此本稿未生成正式译文。正式定稿前需要补充教师指定英文文献原文，再将译文装订到本附件或学院要求的独立翻译文件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1474" w:footer="13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武汉理工大学本科毕业设计（论文）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