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  <w:t>Федеральное государственное бюджетное учреждение высшего образования</w:t>
      </w:r>
    </w:p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  <w:t>«Ростовский государственный экономический университет (РИНХ)»</w:t>
      </w:r>
    </w:p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  <w:t>Финансово экономический колледж</w:t>
      </w:r>
    </w:p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</w:r>
    </w:p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  <w:t>ОТЧЕТ ПО УЧЕБНОЙ ПРАКТИКЕ</w:t>
      </w:r>
    </w:p>
    <w:p>
      <w:pPr>
        <w:pStyle w:val="Normal"/>
        <w:bidi w:val="0"/>
        <w:jc w:val="center"/>
        <w:rPr>
          <w:rFonts w:ascii="Tempora LGC Uni" w:hAnsi="Tempora LGC Uni"/>
          <w:sz w:val="28"/>
          <w:szCs w:val="28"/>
        </w:rPr>
      </w:pPr>
      <w:r>
        <w:rPr>
          <w:rFonts w:ascii="Tempora LGC Uni" w:hAnsi="Tempora LGC Uni"/>
          <w:sz w:val="28"/>
          <w:szCs w:val="28"/>
        </w:rPr>
        <w:t>по теме: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«Цели, корректность и направления анализа программных продуктов. Выбор критериев сравнения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  <w:tab/>
        <w:tab/>
        <w:tab/>
        <w:tab/>
        <w:tab/>
        <w:t>Толстопятенко Александр Владимирович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 xml:space="preserve">1 курса очной формы обучения по </w:t>
        <w:tab/>
        <w:tab/>
        <w:tab/>
        <w:tab/>
        <w:tab/>
        <w:tab/>
        <w:tab/>
        <w:tab/>
        <w:t xml:space="preserve">программе </w:t>
        <w:tab/>
        <w:t xml:space="preserve">подготовки специалистов </w:t>
        <w:tab/>
        <w:tab/>
        <w:tab/>
        <w:tab/>
        <w:tab/>
        <w:tab/>
        <w:tab/>
        <w:t xml:space="preserve">среднего звена на базе среднего общего </w:t>
        <w:tab/>
        <w:tab/>
        <w:tab/>
        <w:tab/>
        <w:tab/>
        <w:tab/>
        <w:tab/>
        <w:t>образования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>обучающийся по специальности 09.02.07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>«Информационные системы и программирование»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>Руководитель практики: Журавлев Д.Г.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г. Ростов-на-Дону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  <w:r>
        <w:br w:type="page"/>
      </w:r>
    </w:p>
    <w:p>
      <w:pPr>
        <w:pStyle w:val="Heading1"/>
        <w:bidi w:val="0"/>
        <w:spacing w:lineRule="auto" w:line="360" w:before="0" w:after="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  <w:t>1. Сравнительный анализ браузеров</w:t>
      </w:r>
    </w:p>
    <w:tbl>
      <w:tblPr>
        <w:tblStyle w:val="TableGrid"/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Google Chrome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Mozilla Firefox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Microsoft Edge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Потребление RAM (10 вкладок)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Высокое (~1200 МБ)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Среднее (~900 МБ)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Среднее (~950 МБ)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bidi w:val="0"/>
              <w:spacing w:lineRule="auto" w:line="360"/>
              <w:jc w:val="start"/>
              <w:rPr>
                <w:rFonts w:ascii="Tempora LGC Uni" w:hAnsi="Tempora LGC Uni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ascii="Tempora LGC Uni" w:hAnsi="Tempora LGC Uni"/>
                <w:color w:val="000000"/>
                <w:sz w:val="28"/>
                <w:szCs w:val="28"/>
                <w:lang w:val="en-US" w:eastAsia="en-US" w:bidi="ar-SA"/>
              </w:rPr>
              <w:t>Энергоэффективность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Высокая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Высокая (режим экономии)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Скорость запуска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Быстрая (~1.2 сек)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 (~1.5 сек)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Быстрая (~1.1 сек)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Наличие расширений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Очень много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Много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Много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Синхронизация Android ↔ ПК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Полная</w:t>
            </w:r>
          </w:p>
        </w:tc>
      </w:tr>
    </w:tbl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</w:r>
    </w:p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</w:r>
    </w:p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  <w:t>2. Сравнительный анализ офисных пакетов</w:t>
      </w:r>
    </w:p>
    <w:tbl>
      <w:tblPr>
        <w:tblStyle w:val="TableGrid"/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Microsoft Office 365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Google Workspace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LibreOffice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Совместимость (DOCX → ODT)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Отличная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Хорошая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Средняя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Стоимость лицензии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Платная (по подписке)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Платная (по подписке)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Бесплатная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Совместное редактирование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(через OneDrive)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(в реальном времени)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 (через плагины)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Поддержка автоматизации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VBA, Power Automate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Google Apps Script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Макросы на Basic/Python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Мобильная функциональность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(мобильные приложения)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(через браузер и приложения)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Ограниченная</w:t>
            </w:r>
          </w:p>
        </w:tc>
      </w:tr>
    </w:tbl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  <w:t>3. Сравнительный анализ видео-плееров</w:t>
      </w:r>
    </w:p>
    <w:tbl>
      <w:tblPr>
        <w:tblStyle w:val="TableGrid"/>
        <w:tblW w:w="8640" w:type="dxa"/>
        <w:jc w:val="start"/>
        <w:tblInd w:w="-113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160"/>
        <w:gridCol w:w="2160"/>
        <w:gridCol w:w="2160"/>
        <w:gridCol w:w="2159"/>
      </w:tblGrid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Критерий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KMPlayer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MX Player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VLC Media Player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Скрипты/автоматизация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Нет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Нет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Есть (через LUA/CLI)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Мобильная функциональность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(Android, iOS)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(Android)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(Android, iOS)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Работа с субтитрами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(много форматов)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Поддержка редких кодеков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Частично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Отличная</w:t>
            </w:r>
          </w:p>
        </w:tc>
      </w:tr>
      <w:tr>
        <w:trPr/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Автокоррекция видео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Есть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Есть</w:t>
            </w:r>
          </w:p>
        </w:tc>
        <w:tc>
          <w:tcPr>
            <w:tcW w:w="2159" w:type="dxa"/>
            <w:tcBorders/>
          </w:tcPr>
          <w:p>
            <w:pPr>
              <w:pStyle w:val="Normal"/>
              <w:widowControl/>
              <w:bidi w:val="0"/>
              <w:spacing w:lineRule="auto" w:line="360" w:before="0" w:after="0"/>
              <w:jc w:val="start"/>
              <w:rPr>
                <w:rFonts w:ascii="Tempora LGC Uni" w:hAnsi="Tempora LGC Uni" w:eastAsia="ＭＳ 明朝" w:cs=""/>
                <w:color w:val="000000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ＭＳ 明朝" w:cs="" w:ascii="Tempora LGC Uni" w:hAnsi="Tempora LGC Uni"/>
                <w:color w:val="000000"/>
                <w:kern w:val="0"/>
                <w:sz w:val="28"/>
                <w:szCs w:val="28"/>
                <w:lang w:val="en-US" w:eastAsia="en-US" w:bidi="ar-SA"/>
              </w:rPr>
              <w:t>Да (широкие настройки)</w:t>
            </w:r>
          </w:p>
        </w:tc>
      </w:tr>
    </w:tbl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</w:r>
    </w:p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</w:r>
    </w:p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</w:r>
    </w:p>
    <w:p>
      <w:pPr>
        <w:pStyle w:val="Heading1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  <w:t>4. Вывод</w:t>
      </w:r>
    </w:p>
    <w:p>
      <w:pPr>
        <w:pStyle w:val="Normal"/>
        <w:bidi w:val="0"/>
        <w:spacing w:lineRule="auto" w:line="360"/>
        <w:jc w:val="start"/>
        <w:rPr>
          <w:rFonts w:ascii="Tempora LGC Uni" w:hAnsi="Tempora LGC Uni"/>
          <w:color w:val="000000"/>
          <w:sz w:val="28"/>
          <w:szCs w:val="28"/>
        </w:rPr>
      </w:pPr>
      <w:r>
        <w:rPr>
          <w:rFonts w:ascii="Tempora LGC Uni" w:hAnsi="Tempora LGC Uni"/>
          <w:color w:val="000000"/>
          <w:sz w:val="28"/>
          <w:szCs w:val="28"/>
        </w:rPr>
        <w:t>В ходе практики был проведен сравнительный анализ различных категорий программного обеспечения — браузеров, офисных пакетов и медиаплееров. На основе предложенных критериев удалось выявить сильные и слабые стороны каждого решения:</w:t>
        <w:br/>
        <w:br/>
        <w:t>- Среди браузеров Microsoft Edge и Firefox демонстрируют лучшую энергоэффективность, а Chrome — лидер по экосистеме расширений.</w:t>
        <w:br/>
        <w:t>- В сегменте офисных пакетов Google Workspace и Office 365 обеспечивают высокий уровень совместной работы, но LibreOffice выигрывает по доступности.</w:t>
        <w:br/>
        <w:t>- Среди медиаплееров VLC Media Player является самым функциональным с точки зрения автоматизации и поддержки редких форматов.</w:t>
        <w:br/>
        <w:br/>
        <w:t>Полученные результаты показывают, что выбор программного обеспечения должен базироваться на конкретных потребностях пользователя, сочетая функциональность, стоимость и удобство использования.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empora LGC Uni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 Sans">
    <w:charset w:val="01" w:characterSet="utf-8"/>
    <w:family w:val="swiss"/>
    <w:pitch w:val="variable"/>
  </w:font>
  <w:font w:name="Tempora LGC Un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5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LibreOffice/7.6.4.1$Linux_X86_64 LibreOffice_project/60$Build-1</Application>
  <AppVersion>15.0000</AppVersion>
  <Pages>4</Pages>
  <Words>331</Words>
  <Characters>2360</Characters>
  <CharactersWithSpaces>2657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2025-06-02T12:37:56Z</dcterms:created>
  <dc:creator/>
  <dc:description/>
  <dc:language>ru-RU</dc:language>
  <cp:lastModifiedBy/>
  <dcterms:modified xsi:type="dcterms:W3CDTF">2025-06-02T12:55:07Z</dcterms:modified>
  <cp:revision>1</cp:revision>
  <dc:subject/>
  <dc:title/>
</cp:coreProperties>
</file>