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3D41A">
      <w:pPr>
        <w:spacing w:after="80"/>
        <w:jc w:val="center"/>
        <w:rPr>
          <w:rFonts w:ascii="微软雅黑" w:hAnsi="微软雅黑" w:eastAsia="微软雅黑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ascii="微软雅黑" w:hAnsi="微软雅黑" w:eastAsia="微软雅黑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历史真实时间与仿真完工时间验证说明</w:t>
      </w:r>
    </w:p>
    <w:p w14:paraId="184962DA">
      <w:pPr>
        <w:spacing w:after="80"/>
        <w:jc w:val="center"/>
        <w:rPr>
          <w:rFonts w:ascii="微软雅黑" w:hAnsi="微软雅黑" w:eastAsia="微软雅黑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EA30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CD9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8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98F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583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A4318A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验证对象</w:t>
            </w:r>
          </w:p>
        </w:tc>
        <w:tc>
          <w:tcPr>
            <w:tcW w:w="4824" w:type="dxa"/>
            <w:vAlign w:val="center"/>
          </w:tcPr>
          <w:p w14:paraId="4B3A255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历史分配策略下，仿真完工时间与历史真实工作时间的差异</w:t>
            </w:r>
          </w:p>
        </w:tc>
      </w:tr>
      <w:tr w14:paraId="55610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DF69C7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历史数据</w:t>
            </w:r>
          </w:p>
        </w:tc>
        <w:tc>
          <w:tcPr>
            <w:tcW w:w="4824" w:type="dxa"/>
            <w:vAlign w:val="center"/>
          </w:tcPr>
          <w:p w14:paraId="7EBC649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DMS拣选20260201-0429.XLSX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测试数据为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2026-03 </w:t>
            </w: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月</w:t>
            </w:r>
          </w:p>
        </w:tc>
      </w:tr>
      <w:tr w14:paraId="67AAD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0B8D8D3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仿真假设</w:t>
            </w:r>
          </w:p>
        </w:tc>
        <w:tc>
          <w:tcPr>
            <w:tcW w:w="4824" w:type="dxa"/>
            <w:vAlign w:val="center"/>
          </w:tcPr>
          <w:p w14:paraId="35E3822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一个订单的一种 SKU 聚合为一个仿真箱</w:t>
            </w:r>
          </w:p>
        </w:tc>
      </w:tr>
    </w:tbl>
    <w:p w14:paraId="25EF1489">
      <w:pPr>
        <w:spacing w:after="8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397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E6B0">
            <w:pPr>
              <w:spacing w:after="6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核心结论</w:t>
            </w:r>
          </w:p>
          <w:p w14:paraId="028AB1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历史订单真实耗时模式已经基本满足 10% 目标；SKU 平均工时模式在全量口径下仍不稳定。删除 1、2 站台相关订单后，SKU 平均工时模式达标率明显提升，说明特殊站台及其订单结构是重要影响因素。</w:t>
            </w:r>
          </w:p>
        </w:tc>
      </w:tr>
    </w:tbl>
    <w:p w14:paraId="2F410EF7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098E97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1. 验证目标与口径</w:t>
      </w:r>
    </w:p>
    <w:p w14:paraId="1DCA1261">
      <w:pPr>
        <w:spacing w:after="12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核心指标是：输入订单相同、订单分配策略相同的条件下，仿真计算总工作时间与历史真实工作时间差值不超过 10%。</w:t>
      </w:r>
    </w:p>
    <w:p w14:paraId="08C1799B">
      <w:pPr>
        <w:spacing w:after="12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本版验证围绕历史分配策略展开，覆盖两种处理时间来源：历史订单真实耗时，以及历史 SKU 平均工时。</w:t>
      </w:r>
    </w:p>
    <w:p w14:paraId="1B41F748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历史订单真实耗时：同一订单、同一 SKU 的历史有效行耗时求和，作为该订单-SKU 仿真箱处理时间。</w:t>
      </w:r>
    </w:p>
    <w:p w14:paraId="774DFBCB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SKU 平均工时：使用 SKU 标准单件平均耗时乘以合并后的数量，作为该订单-SKU 仿真箱处理时间。</w:t>
      </w:r>
    </w:p>
    <w:p w14:paraId="1B900633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真实时间采用净工作时间：当天最早开始到最晚结束的跨度，扣除超过 30 分钟的全局无作业空档。</w:t>
      </w:r>
    </w:p>
    <w:p w14:paraId="63FE304D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数据清洗剔除目标数量和已拣选数量为 0 的错误数据，并以数据列名读取关键字段。</w:t>
      </w:r>
    </w:p>
    <w:p w14:paraId="568595A8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2. 当前实现状态</w:t>
      </w:r>
    </w:p>
    <w:p w14:paraId="69082C88">
      <w:pPr>
        <w:spacing w:after="12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为支持验证与演示，当前项目已经将算法策略和仿真执行拆开：策略层只输出订单到站台的派工结果，仿真层统一接收派工结果并生成 3D 剧本时间线。</w:t>
      </w:r>
    </w:p>
    <w:p w14:paraId="75CD9664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可选策略包括 AI 强化学习、轮询、随机、历史分配-真实耗时、历史分配-SKU 平均耗时。</w:t>
      </w:r>
    </w:p>
    <w:p w14:paraId="17C3AD1C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前端可选择策略并启动 3D 可视化，后端统一生成仿真时间线和总完工时间。</w:t>
      </w:r>
    </w:p>
    <w:p w14:paraId="02DD62D0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历史策略默认不使用库存快照；AI、轮询、随机等日订单策略仍依赖库存数据进行订单预处理。</w:t>
      </w:r>
    </w:p>
    <w:p w14:paraId="45136F77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综合作业间隔已配置为全量口径二分校准结果，前端历史模式默认使用不排除 1、2 站台的全量间隔。</w:t>
      </w:r>
    </w:p>
    <w:p w14:paraId="42A402C9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3. 综合作业间隔计算</w:t>
      </w:r>
    </w:p>
    <w:p w14:paraId="3BD51891">
      <w:pPr>
        <w:spacing w:after="12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当前采用二分法校准综合作业间隔，而不是直接使用原始相邻记录间隙平均值。二分法的目标是让仿真总完工时间尽量贴近历史真实净工作时间。</w:t>
      </w:r>
    </w:p>
    <w:p w14:paraId="70F06AC6">
      <w:pPr>
        <w:pStyle w:val="14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按天构建历史订单-SKU 仿真箱，并按历史站台分配。</w:t>
      </w:r>
    </w:p>
    <w:p w14:paraId="61D5799E">
      <w:pPr>
        <w:pStyle w:val="14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先以 0 秒综合间隔运行仿真，得到 zero-gap 仿真完工时间。</w:t>
      </w:r>
    </w:p>
    <w:p w14:paraId="68C0BA42">
      <w:pPr>
        <w:pStyle w:val="14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计算该天历史真实净工作时间。</w:t>
      </w:r>
    </w:p>
    <w:p w14:paraId="039F7D1F">
      <w:pPr>
        <w:pStyle w:val="14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通过二分搜索找到该天的综合间隔，使仿真完工时间接近真实净工作时间。</w:t>
      </w:r>
    </w:p>
    <w:p w14:paraId="43A804DE">
      <w:pPr>
        <w:pStyle w:val="14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对一个月每日综合间隔取中位数，作为推荐配置值。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</w:tblGrid>
      <w:tr w14:paraId="1F19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47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模式</w:t>
            </w:r>
          </w:p>
        </w:tc>
        <w:tc>
          <w:tcPr>
            <w:tcW w:w="24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557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推荐综合间隔</w:t>
            </w:r>
          </w:p>
        </w:tc>
        <w:tc>
          <w:tcPr>
            <w:tcW w:w="24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4CD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计算方式</w:t>
            </w:r>
          </w:p>
        </w:tc>
      </w:tr>
      <w:tr w14:paraId="47F4D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6AF4D32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历史分配-真实耗时</w:t>
            </w:r>
          </w:p>
        </w:tc>
        <w:tc>
          <w:tcPr>
            <w:tcW w:w="2412" w:type="dxa"/>
            <w:vAlign w:val="center"/>
          </w:tcPr>
          <w:p w14:paraId="44B79DB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5.824 秒</w:t>
            </w:r>
          </w:p>
        </w:tc>
        <w:tc>
          <w:tcPr>
            <w:tcW w:w="2412" w:type="dxa"/>
            <w:vAlign w:val="center"/>
          </w:tcPr>
          <w:p w14:paraId="1AF5281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2026-03 每日二分校准后取中位数</w:t>
            </w:r>
          </w:p>
        </w:tc>
      </w:tr>
      <w:tr w14:paraId="6875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6AEBA4A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历史分配-SKU平均耗时</w:t>
            </w:r>
          </w:p>
        </w:tc>
        <w:tc>
          <w:tcPr>
            <w:tcW w:w="2412" w:type="dxa"/>
            <w:vAlign w:val="center"/>
          </w:tcPr>
          <w:p w14:paraId="4DB0FCA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9.415 秒</w:t>
            </w:r>
          </w:p>
        </w:tc>
        <w:tc>
          <w:tcPr>
            <w:tcW w:w="2412" w:type="dxa"/>
            <w:vAlign w:val="center"/>
          </w:tcPr>
          <w:p w14:paraId="7846E9D3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2026-03 每日二分校准后取中位数</w:t>
            </w:r>
          </w:p>
        </w:tc>
      </w:tr>
      <w:tr w14:paraId="14D4C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7EB5C37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删除 1、2 站台诊断口径</w:t>
            </w:r>
          </w:p>
        </w:tc>
        <w:tc>
          <w:tcPr>
            <w:tcW w:w="2412" w:type="dxa"/>
            <w:vAlign w:val="center"/>
          </w:tcPr>
          <w:p w14:paraId="6F58CA7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4.139 秒</w:t>
            </w:r>
          </w:p>
        </w:tc>
        <w:tc>
          <w:tcPr>
            <w:tcW w:w="2412" w:type="dxa"/>
            <w:vAlign w:val="center"/>
          </w:tcPr>
          <w:p w14:paraId="1C7EFFD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删除相关整单后重新校准</w:t>
            </w:r>
          </w:p>
        </w:tc>
      </w:tr>
    </w:tbl>
    <w:p w14:paraId="3748009A">
      <w:pPr>
        <w:spacing w:after="8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8C8AB5D">
      <w:pPr>
        <w:spacing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曾试验“原始相邻记录间隙总和除以合并后箱数”的方法。全量口径得到 31.033 秒，删除 1、2 站台订单后得到 22.529 秒；带入验证后误差显著偏大。因此该脚本已删除，不作为当前方案。</w:t>
      </w:r>
    </w:p>
    <w:p w14:paraId="09027BA9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4. 指标现状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907"/>
        <w:gridCol w:w="866"/>
        <w:gridCol w:w="1367"/>
        <w:gridCol w:w="1344"/>
        <w:gridCol w:w="1345"/>
        <w:gridCol w:w="2439"/>
      </w:tblGrid>
      <w:tr w14:paraId="2A54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B2E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验证口径</w:t>
            </w:r>
          </w:p>
        </w:tc>
        <w:tc>
          <w:tcPr>
            <w:tcW w:w="9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FB4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验证天数</w:t>
            </w:r>
          </w:p>
        </w:tc>
        <w:tc>
          <w:tcPr>
            <w:tcW w:w="8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79F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达标天数</w:t>
            </w:r>
          </w:p>
        </w:tc>
        <w:tc>
          <w:tcPr>
            <w:tcW w:w="13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62D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达标率</w:t>
            </w:r>
          </w:p>
        </w:tc>
        <w:tc>
          <w:tcPr>
            <w:tcW w:w="1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662C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平均误差</w:t>
            </w:r>
          </w:p>
        </w:tc>
        <w:tc>
          <w:tcPr>
            <w:tcW w:w="134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C91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最大误差</w:t>
            </w:r>
          </w:p>
        </w:tc>
        <w:tc>
          <w:tcPr>
            <w:tcW w:w="24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B49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未达标日期</w:t>
            </w:r>
          </w:p>
        </w:tc>
      </w:tr>
      <w:tr w14:paraId="32D27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vAlign w:val="center"/>
          </w:tcPr>
          <w:p w14:paraId="4090FA9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全量: 历史真实耗时</w:t>
            </w:r>
          </w:p>
        </w:tc>
        <w:tc>
          <w:tcPr>
            <w:tcW w:w="907" w:type="dxa"/>
            <w:vAlign w:val="center"/>
          </w:tcPr>
          <w:p w14:paraId="03B5626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866" w:type="dxa"/>
            <w:vAlign w:val="center"/>
          </w:tcPr>
          <w:p w14:paraId="719673C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367" w:type="dxa"/>
            <w:vAlign w:val="center"/>
          </w:tcPr>
          <w:p w14:paraId="57887C7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96.8%</w:t>
            </w:r>
          </w:p>
        </w:tc>
        <w:tc>
          <w:tcPr>
            <w:tcW w:w="1344" w:type="dxa"/>
            <w:vAlign w:val="center"/>
          </w:tcPr>
          <w:p w14:paraId="061F406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2.817%</w:t>
            </w:r>
          </w:p>
        </w:tc>
        <w:tc>
          <w:tcPr>
            <w:tcW w:w="1345" w:type="dxa"/>
            <w:vAlign w:val="center"/>
          </w:tcPr>
          <w:p w14:paraId="30D0C3F9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12.887%</w:t>
            </w:r>
          </w:p>
        </w:tc>
        <w:tc>
          <w:tcPr>
            <w:tcW w:w="2439" w:type="dxa"/>
            <w:vAlign w:val="center"/>
          </w:tcPr>
          <w:p w14:paraId="5ED4D2B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2026-03-09</w:t>
            </w:r>
          </w:p>
        </w:tc>
      </w:tr>
      <w:tr w14:paraId="12E4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vAlign w:val="center"/>
          </w:tcPr>
          <w:p w14:paraId="46F7BF7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全量: SKU平均工时</w:t>
            </w:r>
          </w:p>
        </w:tc>
        <w:tc>
          <w:tcPr>
            <w:tcW w:w="907" w:type="dxa"/>
            <w:vAlign w:val="center"/>
          </w:tcPr>
          <w:p w14:paraId="792E5F4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866" w:type="dxa"/>
            <w:vAlign w:val="center"/>
          </w:tcPr>
          <w:p w14:paraId="0C21CCB8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367" w:type="dxa"/>
            <w:vAlign w:val="center"/>
          </w:tcPr>
          <w:p w14:paraId="5503177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51.6%</w:t>
            </w:r>
          </w:p>
        </w:tc>
        <w:tc>
          <w:tcPr>
            <w:tcW w:w="1344" w:type="dxa"/>
            <w:vAlign w:val="center"/>
          </w:tcPr>
          <w:p w14:paraId="318AC5D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10.185%</w:t>
            </w:r>
          </w:p>
        </w:tc>
        <w:tc>
          <w:tcPr>
            <w:tcW w:w="1345" w:type="dxa"/>
            <w:vAlign w:val="center"/>
          </w:tcPr>
          <w:p w14:paraId="1F8580F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29.028%</w:t>
            </w:r>
          </w:p>
        </w:tc>
        <w:tc>
          <w:tcPr>
            <w:tcW w:w="2439" w:type="dxa"/>
            <w:vAlign w:val="center"/>
          </w:tcPr>
          <w:p w14:paraId="61DF8E8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2026-03-02、2026-03-08、2026-03-09、2026-03-10、2026-03-11、2026-03-12、2026-03-14、2026-03-15、2026-03-16、2026-03-18、2026-03-21、2026-03-23、2026-03-25、2026-03-27、2026-03-29</w:t>
            </w:r>
          </w:p>
        </w:tc>
      </w:tr>
      <w:tr w14:paraId="4A94E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vAlign w:val="center"/>
          </w:tcPr>
          <w:p w14:paraId="086CB00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诊断: 删除1、2站台相关订单后 SKU平均工时</w:t>
            </w:r>
          </w:p>
        </w:tc>
        <w:tc>
          <w:tcPr>
            <w:tcW w:w="907" w:type="dxa"/>
            <w:vAlign w:val="center"/>
          </w:tcPr>
          <w:p w14:paraId="2053FAC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866" w:type="dxa"/>
            <w:vAlign w:val="center"/>
          </w:tcPr>
          <w:p w14:paraId="088CB56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1367" w:type="dxa"/>
            <w:vAlign w:val="center"/>
          </w:tcPr>
          <w:p w14:paraId="1A4E0B7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93.5%</w:t>
            </w:r>
          </w:p>
        </w:tc>
        <w:tc>
          <w:tcPr>
            <w:tcW w:w="1344" w:type="dxa"/>
            <w:vAlign w:val="center"/>
          </w:tcPr>
          <w:p w14:paraId="2F28829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4.805%</w:t>
            </w:r>
          </w:p>
        </w:tc>
        <w:tc>
          <w:tcPr>
            <w:tcW w:w="1345" w:type="dxa"/>
            <w:vAlign w:val="center"/>
          </w:tcPr>
          <w:p w14:paraId="6EC4E434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11.836%</w:t>
            </w:r>
          </w:p>
        </w:tc>
        <w:tc>
          <w:tcPr>
            <w:tcW w:w="2439" w:type="dxa"/>
            <w:vAlign w:val="center"/>
          </w:tcPr>
          <w:p w14:paraId="50366F75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2026-03-01、2026-03-21</w:t>
            </w:r>
          </w:p>
        </w:tc>
      </w:tr>
    </w:tbl>
    <w:p w14:paraId="44576A69">
      <w:pPr>
        <w:spacing w:after="8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77C1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EE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68AE">
            <w:pPr>
              <w:spacing w:after="6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现状判断</w:t>
            </w:r>
          </w:p>
          <w:p w14:paraId="6B21A4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历史真实耗时模式全量口径 31 天中 30 天达标，已经接近验收要求。SKU 平均工时模式全量口径 31 天中 16 天达标，说明仅使用 SKU 平均单件耗时不能稳定刻画不同站台、人员、数量区间和订单结构差异。</w:t>
            </w:r>
          </w:p>
        </w:tc>
      </w:tr>
    </w:tbl>
    <w:p w14:paraId="68F1181B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2F5144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5. 影响因素分析</w:t>
      </w:r>
    </w:p>
    <w:p w14:paraId="46E0F546">
      <w:pPr>
        <w:pStyle w:val="4"/>
        <w:spacing w:before="2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5.1 已排除或弱相关因素</w:t>
      </w:r>
    </w:p>
    <w:p w14:paraId="2ED53BCF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订单跨站台：已抽查 2026-03 月数据，未发现拣选列表跨站台处理的情况，因此不是主要误差来源。</w:t>
      </w:r>
    </w:p>
    <w:p w14:paraId="1841B752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同订单-SKU 多行重叠重复计时：关键异常日期 2026-03-09 的瓶颈站台重叠重复量极小，不足以解释三千秒级差异。</w:t>
      </w:r>
    </w:p>
    <w:p w14:paraId="1D17CB2B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运输时间偏大：部分异常订单仿真中从发车到开始处理约几十秒，主要差距不是运输段，而是发车时刻已经偏晚。</w:t>
      </w:r>
    </w:p>
    <w:p w14:paraId="585357AB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真实净时间扣除长空档：2026-03-09 没有超过 30 分钟的全局无作业空档，gross 与 net 一致。</w:t>
      </w:r>
    </w:p>
    <w:p w14:paraId="05020996">
      <w:pPr>
        <w:pStyle w:val="4"/>
        <w:spacing w:before="2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5.2 主要影响因素</w:t>
      </w:r>
    </w:p>
    <w:p w14:paraId="562B62B7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历史发车时刻未知：历史表只有拣选开始和结束时间，没有订单真实发车时间，当前只能用订单最早开始拣选时间近似排序。</w:t>
      </w:r>
    </w:p>
    <w:p w14:paraId="36A1BBE0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全局发车游标会放大局部拥堵：当前仿真中某站台容量等待可能写回全局 dispatch_time_cursor，导致后续其他站台订单也被整体推迟。</w:t>
      </w:r>
    </w:p>
    <w:p w14:paraId="0A1A1ADB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SKU 平均工时颗粒度偏粗：相同 SKU、相同数量在不同站台或人员下耗时差异明显，1、2 站台尤其会拉大偏差。</w:t>
      </w:r>
    </w:p>
    <w:p w14:paraId="143CAB0A">
      <w:pPr>
        <w:pStyle w:val="16"/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订单-SKU 合并改变了真实穿插过程：真实数据中同一订单同一 SKU 可能拆成多行并穿插其他 SKU，仿真里被合并为一个连续处理箱。</w:t>
      </w:r>
    </w:p>
    <w:p w14:paraId="3A2B54A0">
      <w:pPr>
        <w:spacing w:after="12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关于 zero-gap 偶发偏长：zero-gap 仿真不加综合作业间隔，按理应比真实时间更短；但个别日期会更长，主要不是库存原因，而是历史发车时刻未知，且当前仿真可能把局部站台容量等待写回全局发车游标。以 2026-03-09 为例，zero-gap 仿真约 52159.965 秒，真实净时间约 49024.856 秒，差距主要来自任务发车时刻被整体推迟。</w:t>
      </w:r>
    </w:p>
    <w:p w14:paraId="09DA2C6A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6. 已采用的处理办法</w:t>
      </w:r>
    </w:p>
    <w:p w14:paraId="2F7DB4A4">
      <w:pPr>
        <w:spacing w:after="12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本节描述的是在验证未达标天数较多时，已经采用的处理路径，以及处理后指标如何改善。重点不是提出未来优化项，而是说明当前版本如何使多数日期进入 10% 误差范围。</w:t>
      </w:r>
    </w:p>
    <w:p w14:paraId="55E76B51">
      <w:pPr>
        <w:pStyle w:val="4"/>
        <w:spacing w:before="200" w:after="1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6.1 历史订单真实耗时模式</w:t>
      </w:r>
    </w:p>
    <w:p w14:paraId="7DE2A77A">
      <w:pPr>
        <w:pStyle w:val="14"/>
        <w:numPr>
          <w:numId w:val="7"/>
        </w:numPr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保留当前订单-SKU 合并抽象，即一个订单的一种 SKU 对应一个仿真箱，避免重新开发一套按历史每行回放的仿真逻辑。</w:t>
      </w:r>
    </w:p>
    <w:p w14:paraId="2FDD7CC4">
      <w:pPr>
        <w:pStyle w:val="14"/>
        <w:numPr>
          <w:numId w:val="7"/>
        </w:numPr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处理时间直接采用历史有效行耗时求和，确保同一订单、同一 SKU 在仿真中的处理负荷尽量接近真实记录。</w:t>
      </w:r>
    </w:p>
    <w:p w14:paraId="50F9FB69">
      <w:pPr>
        <w:pStyle w:val="14"/>
        <w:numPr>
          <w:numId w:val="7"/>
        </w:numPr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采用真实净工作时间作为对比对象，扣除超过 30 分钟的全局无作业空档，避免班中长停顿影响作业效率验证。</w:t>
      </w:r>
    </w:p>
    <w:p w14:paraId="4F3F1DB1">
      <w:pPr>
        <w:pStyle w:val="14"/>
        <w:numPr>
          <w:numId w:val="7"/>
        </w:numPr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用二分法逐日反推综合作业间隔，并取 2026-03 月度中位数 5.824 秒作为统一配置值。</w:t>
      </w:r>
    </w:p>
    <w:p w14:paraId="0A809E3D">
      <w:pPr>
        <w:pStyle w:val="14"/>
        <w:numPr>
          <w:numId w:val="7"/>
        </w:numPr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按该配置回测 2026-03 全量数据，31 天中 30 天达标，未达标天数由零间隔或单日参数不稳定问题收敛到少数异常日。</w:t>
      </w:r>
    </w:p>
    <w:p w14:paraId="23C670B3">
      <w:pPr>
        <w:pStyle w:val="4"/>
        <w:spacing w:before="200" w:after="10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6.2 SKU 平均工时模式</w:t>
      </w:r>
    </w:p>
    <w:p w14:paraId="2DD36F29">
      <w:pPr>
        <w:pStyle w:val="14"/>
        <w:numPr>
          <w:numId w:val="8"/>
        </w:numPr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先按全量正式口径校准，得到 2026-03 月度中位数 9.415 秒，用于前端历史分配-SKU 平均工时模式的正式演示。</w:t>
      </w:r>
    </w:p>
    <w:p w14:paraId="7ABD5DA7">
      <w:pPr>
        <w:pStyle w:val="14"/>
        <w:numPr>
          <w:numId w:val="8"/>
        </w:numPr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全量回测 2026-03 时，SKU 平均工时模式 31 天中 16 天达标，说明单一 SKU 均值无法充分解释站台差异和订单结构差异。</w:t>
      </w:r>
    </w:p>
    <w:p w14:paraId="11C0FC06">
      <w:pPr>
        <w:pStyle w:val="14"/>
        <w:numPr>
          <w:numId w:val="8"/>
        </w:numPr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为定位误差来源，新增诊断口径：测试脚本可删除 1、2 站台相关整单，再重新校准综合作业间隔。该口径只用于分析原因，不替代正式验收口径。</w:t>
      </w:r>
    </w:p>
    <w:p w14:paraId="4D142F39">
      <w:pPr>
        <w:pStyle w:val="14"/>
        <w:numPr>
          <w:numId w:val="8"/>
        </w:numPr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删除 1、2 站台相关整单后，2026-03 SKU 平均工时诊断口径重新校准得到 4.139 秒，31 天中 29 天达标。</w:t>
      </w:r>
    </w:p>
    <w:p w14:paraId="542775D3">
      <w:pPr>
        <w:pStyle w:val="14"/>
        <w:numPr>
          <w:numId w:val="8"/>
        </w:numPr>
        <w:spacing w:after="8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据此将 AI、轮询、随机等新策略默认综合间隔设置为 4.139 秒，表示去除历史特殊问题站台影响后的规范执行口径；历史 SKU 平均工时复现仍使用 9.415 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F072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EE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74A7">
            <w:pPr>
              <w:spacing w:after="6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处理结果</w:t>
            </w:r>
          </w:p>
          <w:p w14:paraId="2A80E6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订单真实耗时模式通过全量二分校准后达到 30/31 天达标；SKU 平均工时模式在正式全量口径下仍为 16/31 天达标，但删除 1、2 站台相关订单的诊断口径提升到 29/31 天达标，说明未达标的主要矛盾集中在特殊站台及其订单。</w:t>
            </w:r>
          </w:p>
        </w:tc>
      </w:tr>
    </w:tbl>
    <w:p w14:paraId="53B06BAD">
      <w:pPr>
        <w:spacing w:after="4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551F524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7. 当前脚本与配置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FB0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5E22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文件</w:t>
            </w:r>
          </w:p>
        </w:tc>
        <w:tc>
          <w:tcPr>
            <w:tcW w:w="57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A35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作用</w:t>
            </w:r>
          </w:p>
        </w:tc>
      </w:tr>
      <w:tr w14:paraId="79CF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0143A98F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backend/calibrate_operation_gap.py</w:t>
            </w:r>
          </w:p>
        </w:tc>
        <w:tc>
          <w:tcPr>
            <w:tcW w:w="4824" w:type="dxa"/>
            <w:vAlign w:val="center"/>
          </w:tcPr>
          <w:p w14:paraId="1A0C7F9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全量口径二分校准综合作业间隔</w:t>
            </w:r>
          </w:p>
        </w:tc>
      </w:tr>
      <w:tr w14:paraId="0ED8D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B011977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backend/validate_history_simulation.py</w:t>
            </w:r>
          </w:p>
        </w:tc>
        <w:tc>
          <w:tcPr>
            <w:tcW w:w="4824" w:type="dxa"/>
            <w:vAlign w:val="center"/>
          </w:tcPr>
          <w:p w14:paraId="107430CB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验证仿真完工时间与历史真实净工作时间误差</w:t>
            </w:r>
          </w:p>
        </w:tc>
      </w:tr>
      <w:tr w14:paraId="43084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29C4350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backend/calibrate_gap_without_stations.py</w:t>
            </w:r>
          </w:p>
        </w:tc>
        <w:tc>
          <w:tcPr>
            <w:tcW w:w="4824" w:type="dxa"/>
            <w:vAlign w:val="center"/>
          </w:tcPr>
          <w:p w14:paraId="144A3EC1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删除指定站台相关整单后的诊断口径间隔校准</w:t>
            </w:r>
          </w:p>
        </w:tc>
      </w:tr>
      <w:tr w14:paraId="79B66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14828A6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config/app_config.toml</w:t>
            </w:r>
          </w:p>
        </w:tc>
        <w:tc>
          <w:tcPr>
            <w:tcW w:w="4824" w:type="dxa"/>
            <w:vAlign w:val="center"/>
          </w:tcPr>
          <w:p w14:paraId="3BFFCE3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保存前端和后端默认综合作业间隔</w:t>
            </w:r>
          </w:p>
        </w:tc>
      </w:tr>
      <w:tr w14:paraId="7BCB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025D9BFD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backend/simulation_runner.py</w:t>
            </w:r>
          </w:p>
        </w:tc>
        <w:tc>
          <w:tcPr>
            <w:tcW w:w="4824" w:type="dxa"/>
            <w:vAlign w:val="center"/>
          </w:tcPr>
          <w:p w14:paraId="25F4843C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统一仿真引擎，接收派工结果并生成时间线</w:t>
            </w:r>
          </w:p>
        </w:tc>
      </w:tr>
      <w:tr w14:paraId="1517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26C2D1A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backend/dispatch_strategies.py</w:t>
            </w:r>
          </w:p>
        </w:tc>
        <w:tc>
          <w:tcPr>
            <w:tcW w:w="4824" w:type="dxa"/>
            <w:vAlign w:val="center"/>
          </w:tcPr>
          <w:p w14:paraId="36E78D7E">
            <w:pPr>
              <w:spacing w:after="0" w:line="240" w:lineRule="auto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调度策略接口与策略注册表</w:t>
            </w:r>
          </w:p>
        </w:tc>
      </w:tr>
    </w:tbl>
    <w:p w14:paraId="5641FE9C">
      <w:pPr>
        <w:spacing w:after="8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A69AD64">
      <w:pPr>
        <w:pStyle w:val="3"/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color w:val="000000" w:themeColor="text1"/>
          <w:sz w:val="30"/>
          <w14:textFill>
            <w14:solidFill>
              <w14:schemeClr w14:val="tx1"/>
            </w14:solidFill>
          </w14:textFill>
        </w:rPr>
        <w:t>8. 结论</w:t>
      </w:r>
    </w:p>
    <w:p w14:paraId="4EF23C11">
      <w:pPr>
        <w:spacing w:after="12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本版验证说明，历史订单真实耗时模式在 2026-03 全量口径下已经基本满足 10% 要求。SKU 平均工时模式在全量口径下未达标天数较多，但通过删除 1、2 特殊站台相关订单的诊断口径验证，达标率显著提升，可作为解释全量 SKU 平均工时误差来源的重要依据。</w:t>
      </w:r>
    </w:p>
    <w:p w14:paraId="209BE761">
      <w:pPr>
        <w:spacing w:after="120" w:line="276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因此，当前材料建议将“历史复现验证”和“新策略规范执行评估”分开说明：历史复现仍采用全量历史口径，新策略默认采用去除特殊问题站台影响后的 4.139 秒综合间隔。</w:t>
      </w:r>
    </w:p>
    <w:sectPr>
      <w:footerReference r:id="rId5" w:type="default"/>
      <w:pgSz w:w="12240" w:h="15840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FB85A">
    <w:pPr>
      <w:pStyle w:val="24"/>
      <w:jc w:val="center"/>
    </w:pPr>
    <w:r>
      <w:rPr>
        <w:rFonts w:ascii="微软雅黑" w:hAnsi="微软雅黑" w:eastAsia="微软雅黑"/>
        <w:color w:val="6B7280"/>
        <w:sz w:val="17"/>
      </w:rPr>
      <w:t>潍柴 APS 订单分拣仿真验证材料 | 初版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D8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傻子</cp:lastModifiedBy>
  <dcterms:modified xsi:type="dcterms:W3CDTF">2026-08-28T13:11:10Z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9E14BF561AF546848A559828F7BAF8B8_12</vt:lpwstr>
  </property>
</Properties>
</file>