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52"/>
          <w:szCs w:val="52"/>
        </w:rPr>
        <w:t xml:space="preserve">SIGEPI</w:t>
      </w:r>
    </w:p>
    <w:p>
      <w:pPr>
        <w:spacing w:after="800"/>
        <w:jc w:val="center"/>
      </w:pPr>
      <w:r>
        <w:rPr>
          <w:rFonts w:ascii="Times New Roman" w:cs="Times New Roman" w:eastAsia="Times New Roman" w:hAnsi="Times New Roman"/>
          <w:sz w:val="28"/>
          <w:szCs w:val="28"/>
        </w:rPr>
        <w:t xml:space="preserve">Sistema de Gerenciamento de EPIs</w:t>
      </w:r>
    </w:p>
    <w:p>
      <w:pPr>
        <w:spacing w:after="400"/>
        <w:jc w:val="center"/>
      </w:pPr>
      <w:r>
        <w:rPr>
          <w:rFonts w:ascii="Times New Roman" w:cs="Times New Roman" w:eastAsia="Times New Roman" w:hAnsi="Times New Roman"/>
          <w:b/>
          <w:bCs/>
          <w:sz w:val="36"/>
          <w:szCs w:val="36"/>
        </w:rPr>
        <w:t xml:space="preserve">DOCUMENTO DE SEGURANÇA DA INFORMAÇÃO</w:t>
      </w:r>
    </w:p>
    <w:p>
      <w:pPr>
        <w:spacing w:after="1400"/>
        <w:jc w:val="center"/>
      </w:pPr>
      <w:r>
        <w:rPr>
          <w:rFonts w:ascii="Times New Roman" w:cs="Times New Roman" w:eastAsia="Times New Roman" w:hAnsi="Times New Roman"/>
          <w:i/>
          <w:iCs/>
          <w:sz w:val="24"/>
          <w:szCs w:val="24"/>
        </w:rPr>
        <w:t xml:space="preserve">Arquitetura, mecanismos de proteção, decisões e limitações conhecidas</w:t>
      </w:r>
    </w:p>
    <w:p>
      <w:pPr>
        <w:spacing w:after="120"/>
        <w:jc w:val="center"/>
      </w:pPr>
      <w:r>
        <w:rPr>
          <w:rFonts w:ascii="Times New Roman" w:cs="Times New Roman" w:eastAsia="Times New Roman" w:hAnsi="Times New Roman"/>
          <w:sz w:val="24"/>
          <w:szCs w:val="24"/>
        </w:rPr>
        <w:t xml:space="preserve">Trabalho de Conclusão de Curso</w:t>
      </w:r>
    </w:p>
    <w:p>
      <w:pPr>
        <w:spacing w:after="120"/>
        <w:jc w:val="center"/>
      </w:pPr>
      <w:r>
        <w:rPr>
          <w:rFonts w:ascii="Times New Roman" w:cs="Times New Roman" w:eastAsia="Times New Roman" w:hAnsi="Times New Roman"/>
          <w:sz w:val="24"/>
          <w:szCs w:val="24"/>
        </w:rPr>
        <w:t xml:space="preserve">Curso Técnico em Desenvolvimento de Sistemas</w:t>
      </w:r>
    </w:p>
    <w:p>
      <w:pPr>
        <w:spacing w:after="600"/>
        <w:jc w:val="center"/>
      </w:pPr>
      <w:r>
        <w:rPr>
          <w:rFonts w:ascii="Times New Roman" w:cs="Times New Roman" w:eastAsia="Times New Roman" w:hAnsi="Times New Roman"/>
          <w:sz w:val="24"/>
          <w:szCs w:val="24"/>
        </w:rPr>
        <w:t xml:space="preserve">ETEC Ilza Nascimento Pintus — São José dos Campos, SP</w:t>
      </w:r>
    </w:p>
    <w:p>
      <w:pPr>
        <w:spacing w:after="120"/>
        <w:jc w:val="center"/>
      </w:pPr>
      <w:r>
        <w:rPr>
          <w:rFonts w:ascii="Times New Roman" w:cs="Times New Roman" w:eastAsia="Times New Roman" w:hAnsi="Times New Roman"/>
          <w:sz w:val="24"/>
          <w:szCs w:val="24"/>
        </w:rPr>
        <w:t xml:space="preserve">2026</w:t>
      </w:r>
    </w:p>
    <w:p>
      <w:pPr>
        <w:pageBreakBefore/>
      </w:pPr>
    </w:p>
    <w:p>
      <w:pPr>
        <w:pStyle w:val="Heading1"/>
        <w:spacing w:after="200" w:before="360"/>
      </w:pPr>
      <w:r>
        <w:rPr>
          <w:rFonts w:ascii="Times New Roman" w:cs="Times New Roman" w:eastAsia="Times New Roman" w:hAnsi="Times New Roman"/>
          <w:b/>
          <w:bCs/>
          <w:color w:val="000000"/>
          <w:sz w:val="28"/>
          <w:szCs w:val="28"/>
        </w:rPr>
        <w:t xml:space="preserve">1 INTRODUÇÃO</w:t>
      </w:r>
    </w:p>
    <w:p>
      <w:pPr>
        <w:spacing w:after="120" w:line="360"/>
        <w:ind w:firstLine="708"/>
        <w:jc w:val="both"/>
      </w:pPr>
      <w:r>
        <w:rPr>
          <w:rFonts w:ascii="Times New Roman" w:cs="Times New Roman" w:eastAsia="Times New Roman" w:hAnsi="Times New Roman"/>
          <w:sz w:val="24"/>
          <w:szCs w:val="24"/>
        </w:rPr>
        <w:t xml:space="preserve">Este documento reúne, de forma consolidada, todas as decisões, mecanismos e limitações relativas à segurança do SIGEPI — Sistema de Gerenciamento de Equipamentos de Proteção Individual. O sistema foi construído sobre dois pilares definidos no início do projeto: segurança em camadas e rastreabilidade total.</w:t>
      </w:r>
    </w:p>
    <w:p>
      <w:pPr>
        <w:spacing w:after="120" w:line="360"/>
        <w:ind w:firstLine="708"/>
        <w:jc w:val="both"/>
      </w:pPr>
      <w:r>
        <w:rPr>
          <w:rFonts w:ascii="Times New Roman" w:cs="Times New Roman" w:eastAsia="Times New Roman" w:hAnsi="Times New Roman"/>
          <w:sz w:val="24"/>
          <w:szCs w:val="24"/>
        </w:rPr>
        <w:t xml:space="preserve">Por segurança em camadas entende-se que nenhuma proteção é considerada suficiente isoladamente. O sistema parte do princípio de que o cliente (navegador) nunca é confiável: toda validação existente na interface é repetida no servidor, pois a interface pode ser contornada por qualquer usuário com conhecimento técnico básico. Por rastreabilidade total entende-se que toda ação relevante executada no sistema é registrada em um log de auditoria imutável do ponto de vista do usuário, permitindo identificar quem fez o quê e quando.</w:t>
      </w:r>
    </w:p>
    <w:p>
      <w:pPr>
        <w:spacing w:after="120" w:line="360"/>
        <w:ind w:firstLine="708"/>
        <w:jc w:val="both"/>
      </w:pPr>
      <w:r>
        <w:rPr>
          <w:rFonts w:ascii="Times New Roman" w:cs="Times New Roman" w:eastAsia="Times New Roman" w:hAnsi="Times New Roman"/>
          <w:sz w:val="24"/>
          <w:szCs w:val="24"/>
        </w:rPr>
        <w:t xml:space="preserve">O documento está organizado das camadas mais externas (rede e infraestrutura) para as mais internas (banco de dados), e encerra com uma seção de limitações conhecidas, na qual são apresentadas de forma transparente as fragilidades ainda existentes e o motivo pelo qual foram aceitas no escopo de um trabalho acadêmico.</w:t>
      </w:r>
    </w:p>
    <w:p>
      <w:pPr>
        <w:pStyle w:val="Heading1"/>
        <w:spacing w:after="200" w:before="360"/>
      </w:pPr>
      <w:r>
        <w:rPr>
          <w:rFonts w:ascii="Times New Roman" w:cs="Times New Roman" w:eastAsia="Times New Roman" w:hAnsi="Times New Roman"/>
          <w:b/>
          <w:bCs/>
          <w:color w:val="000000"/>
          <w:sz w:val="28"/>
          <w:szCs w:val="28"/>
        </w:rPr>
        <w:t xml:space="preserve">2 ARQUITETURA GERAL DE SEGURANÇA</w:t>
      </w:r>
    </w:p>
    <w:p>
      <w:pPr>
        <w:spacing w:after="120" w:line="360"/>
        <w:ind w:firstLine="708"/>
        <w:jc w:val="both"/>
      </w:pPr>
      <w:r>
        <w:rPr>
          <w:rFonts w:ascii="Times New Roman" w:cs="Times New Roman" w:eastAsia="Times New Roman" w:hAnsi="Times New Roman"/>
          <w:sz w:val="24"/>
          <w:szCs w:val="24"/>
        </w:rPr>
        <w:t xml:space="preserve">O SIGEPI adota arquitetura cliente-servidor com API REST. O front-end (HTML, CSS e JavaScript puro) não acessa o banco de dados em nenhuma hipótese: toda operação passa obrigatoriamente pela API construída em Node.js com Express. Essa separação é, por si só, uma decisão de segurança — o banco de dados nunca é exposto à internet, e as credenciais de acesso a ele existem somente no servidor.</w:t>
      </w:r>
    </w:p>
    <w:p>
      <w:pPr>
        <w:spacing w:after="120" w:line="360"/>
        <w:ind w:firstLine="708"/>
        <w:jc w:val="both"/>
      </w:pPr>
      <w:r>
        <w:rPr>
          <w:rFonts w:ascii="Times New Roman" w:cs="Times New Roman" w:eastAsia="Times New Roman" w:hAnsi="Times New Roman"/>
          <w:sz w:val="24"/>
          <w:szCs w:val="24"/>
        </w:rPr>
        <w:t xml:space="preserve">Toda requisição percorre obrigatoriamente a seguinte cadeia:</w:t>
      </w:r>
    </w:p>
    <w:p>
      <w:pPr>
        <w:shd w:fill="F2F2F2" w:val="clear"/>
        <w:spacing w:after="120" w:before="60" w:line="240"/>
        <w:ind w:left="340"/>
      </w:pPr>
      <w:r>
        <w:rPr>
          <w:rFonts w:ascii="Courier New" w:cs="Courier New" w:eastAsia="Courier New" w:hAnsi="Courier New"/>
          <w:sz w:val="20"/>
          <w:szCs w:val="20"/>
        </w:rPr>
        <w:t xml:space="preserve">Requisição → Rota → Middlewares (autenticar → exigirEmpresa → exigirAdmin) → Controller → Banco</w:t>
      </w:r>
    </w:p>
    <w:p>
      <w:pPr>
        <w:spacing w:after="120" w:line="360"/>
        <w:ind w:firstLine="708"/>
        <w:jc w:val="both"/>
      </w:pPr>
      <w:r>
        <w:rPr>
          <w:rFonts w:ascii="Times New Roman" w:cs="Times New Roman" w:eastAsia="Times New Roman" w:hAnsi="Times New Roman"/>
          <w:sz w:val="24"/>
          <w:szCs w:val="24"/>
        </w:rPr>
        <w:t xml:space="preserve">A ordem importa. Se o token for inválido, a requisição é rejeitada antes de chegar ao controller; se o usuário não possuir empresa vinculada, é rejeitada antes de qualquer consulta; se a rota for exclusiva do administrador, é rejeitada antes de qualquer alteração de dados. O controller — onde de fato os dados são manipulados — só é alcançado por requisições já autenticadas e autorizadas.</w:t>
      </w:r>
    </w:p>
    <w:p>
      <w:pPr>
        <w:pStyle w:val="Heading1"/>
        <w:spacing w:after="200" w:before="360"/>
      </w:pPr>
      <w:r>
        <w:rPr>
          <w:rFonts w:ascii="Times New Roman" w:cs="Times New Roman" w:eastAsia="Times New Roman" w:hAnsi="Times New Roman"/>
          <w:b/>
          <w:bCs/>
          <w:color w:val="000000"/>
          <w:sz w:val="28"/>
          <w:szCs w:val="28"/>
        </w:rPr>
        <w:t xml:space="preserve">3 AUTENTICAÇÃO</w:t>
      </w:r>
    </w:p>
    <w:p>
      <w:pPr>
        <w:pStyle w:val="Heading2"/>
        <w:spacing w:after="160" w:before="280"/>
      </w:pPr>
      <w:r>
        <w:rPr>
          <w:rFonts w:ascii="Times New Roman" w:cs="Times New Roman" w:eastAsia="Times New Roman" w:hAnsi="Times New Roman"/>
          <w:b/>
          <w:bCs/>
          <w:color w:val="000000"/>
          <w:sz w:val="26"/>
          <w:szCs w:val="26"/>
        </w:rPr>
        <w:t xml:space="preserve">3.1 Armazenamento de senhas (bcrypt)</w:t>
      </w:r>
    </w:p>
    <w:p>
      <w:pPr>
        <w:spacing w:after="120" w:line="360"/>
        <w:ind w:firstLine="708"/>
        <w:jc w:val="both"/>
      </w:pPr>
      <w:r>
        <w:rPr>
          <w:rFonts w:ascii="Times New Roman" w:cs="Times New Roman" w:eastAsia="Times New Roman" w:hAnsi="Times New Roman"/>
          <w:sz w:val="24"/>
          <w:szCs w:val="24"/>
        </w:rPr>
        <w:t xml:space="preserve">As senhas dos usuários nunca são armazenadas em texto puro no banco de dados. No momento do cadastro, a senha passa pelo algoritmo bcrypt, que gera um hash com fator de custo e salt aleatório. O salt garante que dois usuários com a mesma senha tenham hashes diferentes, inviabilizando ataques por tabelas pré-calculadas (rainbow tables).</w:t>
      </w:r>
    </w:p>
    <w:p>
      <w:pPr>
        <w:spacing w:after="120" w:line="360"/>
        <w:ind w:firstLine="708"/>
        <w:jc w:val="both"/>
      </w:pPr>
      <w:r>
        <w:rPr>
          <w:rFonts w:ascii="Times New Roman" w:cs="Times New Roman" w:eastAsia="Times New Roman" w:hAnsi="Times New Roman"/>
          <w:sz w:val="24"/>
          <w:szCs w:val="24"/>
        </w:rPr>
        <w:t xml:space="preserve">O bcrypt é uma função de mão única: não existe operação inversa que recupere a senha a partir do hash. No login, o sistema não descriptografa a senha armazenada — ele aplica o mesmo algoritmo à senha digitada e compara os resultados. Consequência prática: nem os desenvolvedores do sistema têm acesso às senhas dos usuários.</w:t>
      </w:r>
    </w:p>
    <w:p>
      <w:pPr>
        <w:pStyle w:val="Heading2"/>
        <w:spacing w:after="160" w:before="280"/>
      </w:pPr>
      <w:r>
        <w:rPr>
          <w:rFonts w:ascii="Times New Roman" w:cs="Times New Roman" w:eastAsia="Times New Roman" w:hAnsi="Times New Roman"/>
          <w:b/>
          <w:bCs/>
          <w:color w:val="000000"/>
          <w:sz w:val="26"/>
          <w:szCs w:val="26"/>
        </w:rPr>
        <w:t xml:space="preserve">3.2 Sessão por token (JWT)</w:t>
      </w:r>
    </w:p>
    <w:p>
      <w:pPr>
        <w:spacing w:after="120" w:line="360"/>
        <w:ind w:firstLine="708"/>
        <w:jc w:val="both"/>
      </w:pPr>
      <w:r>
        <w:rPr>
          <w:rFonts w:ascii="Times New Roman" w:cs="Times New Roman" w:eastAsia="Times New Roman" w:hAnsi="Times New Roman"/>
          <w:sz w:val="24"/>
          <w:szCs w:val="24"/>
        </w:rPr>
        <w:t xml:space="preserve">Após a validação das credenciais, o servidor emite um JSON Web Token (JWT) assinado com uma chave secreta que reside exclusivamente no servidor, no arquivo de variáveis de ambiente. O token tem validade de 8 horas, período compatível com uma jornada de trabalho, após o qual o usuário precisa autenticar-se novamente.</w:t>
      </w:r>
    </w:p>
    <w:p>
      <w:pPr>
        <w:spacing w:after="120" w:line="360"/>
        <w:ind w:firstLine="708"/>
        <w:jc w:val="both"/>
      </w:pPr>
      <w:r>
        <w:rPr>
          <w:rFonts w:ascii="Times New Roman" w:cs="Times New Roman" w:eastAsia="Times New Roman" w:hAnsi="Times New Roman"/>
          <w:sz w:val="24"/>
          <w:szCs w:val="24"/>
        </w:rPr>
        <w:t xml:space="preserve">O token é assinado, e não criptografado. Isso significa que seu conteúdo pode ser lido, mas não pode ser alterado: qualquer modificação em um único caractere invalida a assinatura e o servidor rejeita a requisição com status 403. É por esse motivo que nenhuma informação sensível é colocada dentro do token.</w:t>
      </w:r>
    </w:p>
    <w:p>
      <w:pPr>
        <w:pStyle w:val="Heading2"/>
        <w:spacing w:after="160" w:before="280"/>
      </w:pPr>
      <w:r>
        <w:rPr>
          <w:rFonts w:ascii="Times New Roman" w:cs="Times New Roman" w:eastAsia="Times New Roman" w:hAnsi="Times New Roman"/>
          <w:b/>
          <w:bCs/>
          <w:color w:val="000000"/>
          <w:sz w:val="26"/>
          <w:szCs w:val="26"/>
        </w:rPr>
        <w:t xml:space="preserve">3.3 Proteção contra força bruta</w:t>
      </w:r>
    </w:p>
    <w:p>
      <w:pPr>
        <w:spacing w:after="120" w:line="360"/>
        <w:ind w:firstLine="708"/>
        <w:jc w:val="both"/>
      </w:pPr>
      <w:r>
        <w:rPr>
          <w:rFonts w:ascii="Times New Roman" w:cs="Times New Roman" w:eastAsia="Times New Roman" w:hAnsi="Times New Roman"/>
          <w:sz w:val="24"/>
          <w:szCs w:val="24"/>
        </w:rPr>
        <w:t xml:space="preserve">A rota de login é protegida por limitação de tentativas (rate limiting): são permitidas 5 tentativas a cada 15 minutos por endereço IP. Um ataque de força bruta, que depende de milhares de tentativas por minuto, torna-se inviável. As demais rotas da API possuem um limite global de 300 requisições por 15 minutos, protegendo o servidor contra abuso e sobrecarga.</w:t>
      </w:r>
    </w:p>
    <w:p>
      <w:pPr>
        <w:pStyle w:val="Heading2"/>
        <w:spacing w:after="160" w:before="280"/>
      </w:pPr>
      <w:r>
        <w:rPr>
          <w:rFonts w:ascii="Times New Roman" w:cs="Times New Roman" w:eastAsia="Times New Roman" w:hAnsi="Times New Roman"/>
          <w:b/>
          <w:bCs/>
          <w:color w:val="000000"/>
          <w:sz w:val="26"/>
          <w:szCs w:val="26"/>
        </w:rPr>
        <w:t xml:space="preserve">3.4 Verificação de robôs (reCAPTCHA v2)</w:t>
      </w:r>
    </w:p>
    <w:p>
      <w:pPr>
        <w:spacing w:after="120" w:line="360"/>
        <w:ind w:firstLine="708"/>
        <w:jc w:val="both"/>
      </w:pPr>
      <w:r>
        <w:rPr>
          <w:rFonts w:ascii="Times New Roman" w:cs="Times New Roman" w:eastAsia="Times New Roman" w:hAnsi="Times New Roman"/>
          <w:sz w:val="24"/>
          <w:szCs w:val="24"/>
        </w:rPr>
        <w:t xml:space="preserve">O login conta ainda com reCAPTCHA v2 do Google. É essencial destacar que a validação do reCAPTCHA não ocorre no navegador: o token gerado é enviado ao servidor, que o valida diretamente junto à API do Google antes de prosseguir com a autenticação. Uma validação feita apenas no front-end seria facilmente contornável.</w:t>
      </w:r>
    </w:p>
    <w:p>
      <w:pPr>
        <w:pStyle w:val="Heading2"/>
        <w:spacing w:after="160" w:before="280"/>
      </w:pPr>
      <w:r>
        <w:rPr>
          <w:rFonts w:ascii="Times New Roman" w:cs="Times New Roman" w:eastAsia="Times New Roman" w:hAnsi="Times New Roman"/>
          <w:b/>
          <w:bCs/>
          <w:color w:val="000000"/>
          <w:sz w:val="26"/>
          <w:szCs w:val="26"/>
        </w:rPr>
        <w:t xml:space="preserve">3.5 Bloqueio de usuários inativos</w:t>
      </w:r>
    </w:p>
    <w:p>
      <w:pPr>
        <w:spacing w:after="120" w:line="360"/>
        <w:ind w:firstLine="708"/>
        <w:jc w:val="both"/>
      </w:pPr>
      <w:r>
        <w:rPr>
          <w:rFonts w:ascii="Times New Roman" w:cs="Times New Roman" w:eastAsia="Times New Roman" w:hAnsi="Times New Roman"/>
          <w:sz w:val="24"/>
          <w:szCs w:val="24"/>
        </w:rPr>
        <w:t xml:space="preserve">O sistema verifica, no momento do login, o status do usuário. Contas inativadas — situação que ocorre quando um funcionário é desligado da empresa — são impedidas de autenticar, mesmo que as credenciais estejam corretas. A exclusão é lógica: o registro permanece no banco para fins de auditoria, mas o acesso é revogado.</w:t>
      </w:r>
    </w:p>
    <w:p>
      <w:pPr>
        <w:pStyle w:val="Heading1"/>
        <w:spacing w:after="200" w:before="360"/>
      </w:pPr>
      <w:r>
        <w:rPr>
          <w:rFonts w:ascii="Times New Roman" w:cs="Times New Roman" w:eastAsia="Times New Roman" w:hAnsi="Times New Roman"/>
          <w:b/>
          <w:bCs/>
          <w:color w:val="000000"/>
          <w:sz w:val="28"/>
          <w:szCs w:val="28"/>
        </w:rPr>
        <w:t xml:space="preserve">4 AUTORIZAÇÃO E ISOLAMENTO DE DADOS</w:t>
      </w:r>
    </w:p>
    <w:p>
      <w:pPr>
        <w:pStyle w:val="Heading2"/>
        <w:spacing w:after="160" w:before="280"/>
      </w:pPr>
      <w:r>
        <w:rPr>
          <w:rFonts w:ascii="Times New Roman" w:cs="Times New Roman" w:eastAsia="Times New Roman" w:hAnsi="Times New Roman"/>
          <w:b/>
          <w:bCs/>
          <w:color w:val="000000"/>
          <w:sz w:val="26"/>
          <w:szCs w:val="26"/>
        </w:rPr>
        <w:t xml:space="preserve">4.1 A decisão mais importante do projeto</w:t>
      </w:r>
    </w:p>
    <w:p>
      <w:pPr>
        <w:spacing w:after="120" w:line="360"/>
        <w:ind w:firstLine="708"/>
        <w:jc w:val="both"/>
      </w:pPr>
      <w:r>
        <w:rPr>
          <w:rFonts w:ascii="Times New Roman" w:cs="Times New Roman" w:eastAsia="Times New Roman" w:hAnsi="Times New Roman"/>
          <w:sz w:val="24"/>
          <w:szCs w:val="24"/>
        </w:rPr>
        <w:t xml:space="preserve">O middleware de autenticação valida o token e, em seguida, executa uma consulta ao banco de dados para obter a empresa vinculada e o tipo do usuário. Esses dois dados nunca são lidos do token nem de qualquer informação enviada pelo cliente.</w:t>
      </w:r>
    </w:p>
    <w:p>
      <w:pPr>
        <w:shd w:fill="F2F2F2" w:val="clear"/>
        <w:spacing w:after="120" w:before="60" w:line="240"/>
        <w:ind w:left="340"/>
      </w:pPr>
      <w:r>
        <w:rPr>
          <w:rFonts w:ascii="Courier New" w:cs="Courier New" w:eastAsia="Courier New" w:hAnsi="Courier New"/>
          <w:sz w:val="20"/>
          <w:szCs w:val="20"/>
        </w:rPr>
        <w:t xml:space="preserve">const [rows] = await db.execute(
  'SELECT tb_empresa_id_empresa, tb_tipousuario_id_tipousuario FROM tb_usuario WHERE id_usuario = ?',
  [dados.id]
);
req.usuario.empresa = rows[0].tb_empresa_id_empresa;
req.usuario.tipo   = rows[0].tb_tipousuario_id_tipousuario;</w:t>
      </w:r>
    </w:p>
    <w:p>
      <w:pPr>
        <w:spacing w:after="120" w:line="360"/>
        <w:ind w:firstLine="708"/>
        <w:jc w:val="both"/>
      </w:pPr>
      <w:r>
        <w:rPr>
          <w:rFonts w:ascii="Times New Roman" w:cs="Times New Roman" w:eastAsia="Times New Roman" w:hAnsi="Times New Roman"/>
          <w:sz w:val="24"/>
          <w:szCs w:val="24"/>
        </w:rPr>
        <w:t xml:space="preserve">A justificativa é direta: caso a empresa fosse obtida a partir do que o cliente envia, bastaria alterar esse valor na requisição para acessar dados de outra empresa. Ao buscar a informação no banco a cada requisição, o servidor trabalha sempre com a fonte confiável. Há ainda um efeito colateral positivo: se um usuário é inativado durante uma sessão ativa, a alteração passa a valer na requisição seguinte, sem depender da expiração do token.</w:t>
      </w:r>
    </w:p>
    <w:p>
      <w:pPr>
        <w:pStyle w:val="Heading2"/>
        <w:spacing w:after="160" w:before="280"/>
      </w:pPr>
      <w:r>
        <w:rPr>
          <w:rFonts w:ascii="Times New Roman" w:cs="Times New Roman" w:eastAsia="Times New Roman" w:hAnsi="Times New Roman"/>
          <w:b/>
          <w:bCs/>
          <w:color w:val="000000"/>
          <w:sz w:val="26"/>
          <w:szCs w:val="26"/>
        </w:rPr>
        <w:t xml:space="preserve">4.2 Camadas de autorização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00"/>
      </w:tblGrid>
      <w:tr>
        <w:tc>
          <w:tcPr>
            <w:tcW w:type="dxa" w:w="2200"/>
            <w:shd w:fill="D9D9D9" w:val="clear"/>
            <w:tcMar>
              <w:top w:type="dxa" w:w="80"/>
              <w:left w:type="dxa" w:w="120"/>
              <w:bottom w:type="dxa" w:w="80"/>
              <w:right w:type="dxa" w:w="120"/>
            </w:tcMar>
          </w:tcPr>
          <w:p>
            <w:pPr>
              <w:spacing w:line="276"/>
            </w:pPr>
            <w:r>
              <w:rPr>
                <w:rFonts w:ascii="Times New Roman" w:cs="Times New Roman" w:eastAsia="Times New Roman" w:hAnsi="Times New Roman"/>
                <w:b/>
                <w:bCs/>
                <w:sz w:val="22"/>
                <w:szCs w:val="22"/>
              </w:rPr>
              <w:t xml:space="preserve">Middleware</w:t>
            </w:r>
          </w:p>
        </w:tc>
        <w:tc>
          <w:tcPr>
            <w:tcW w:type="dxa" w:w="4800"/>
            <w:shd w:fill="D9D9D9" w:val="clear"/>
            <w:tcMar>
              <w:top w:type="dxa" w:w="80"/>
              <w:left w:type="dxa" w:w="120"/>
              <w:bottom w:type="dxa" w:w="80"/>
              <w:right w:type="dxa" w:w="120"/>
            </w:tcMar>
          </w:tcPr>
          <w:p>
            <w:pPr>
              <w:spacing w:line="276"/>
            </w:pPr>
            <w:r>
              <w:rPr>
                <w:rFonts w:ascii="Times New Roman" w:cs="Times New Roman" w:eastAsia="Times New Roman" w:hAnsi="Times New Roman"/>
                <w:b/>
                <w:bCs/>
                <w:sz w:val="22"/>
                <w:szCs w:val="22"/>
              </w:rPr>
              <w:t xml:space="preserve">Função</w:t>
            </w:r>
          </w:p>
        </w:tc>
        <w:tc>
          <w:tcPr>
            <w:tcW w:type="dxa" w:w="2000"/>
            <w:shd w:fill="D9D9D9" w:val="clear"/>
            <w:tcMar>
              <w:top w:type="dxa" w:w="80"/>
              <w:left w:type="dxa" w:w="120"/>
              <w:bottom w:type="dxa" w:w="80"/>
              <w:right w:type="dxa" w:w="120"/>
            </w:tcMar>
          </w:tcPr>
          <w:p>
            <w:pPr>
              <w:spacing w:line="276"/>
            </w:pPr>
            <w:r>
              <w:rPr>
                <w:rFonts w:ascii="Times New Roman" w:cs="Times New Roman" w:eastAsia="Times New Roman" w:hAnsi="Times New Roman"/>
                <w:b/>
                <w:bCs/>
                <w:sz w:val="22"/>
                <w:szCs w:val="22"/>
              </w:rPr>
              <w:t xml:space="preserve">Resposta ao bloquear</w:t>
            </w:r>
          </w:p>
        </w:tc>
      </w:tr>
      <w:tr>
        <w:tc>
          <w:tcPr>
            <w:tcW w:type="dxa" w:w="2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autenticar</w:t>
            </w:r>
          </w:p>
        </w:tc>
        <w:tc>
          <w:tcPr>
            <w:tcW w:type="dxa" w:w="48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Valida o token JWT e carrega empresa e tipo a partir do banco</w:t>
            </w:r>
          </w:p>
        </w:tc>
        <w:tc>
          <w:tcPr>
            <w:tcW w:type="dxa" w:w="20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401 / 403</w:t>
            </w:r>
          </w:p>
        </w:tc>
      </w:tr>
      <w:tr>
        <w:tc>
          <w:tcPr>
            <w:tcW w:type="dxa" w:w="2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exigirEmpresa</w:t>
            </w:r>
          </w:p>
        </w:tc>
        <w:tc>
          <w:tcPr>
            <w:tcW w:type="dxa" w:w="48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Impede acesso de usuário sem empresa vinculada</w:t>
            </w:r>
          </w:p>
        </w:tc>
        <w:tc>
          <w:tcPr>
            <w:tcW w:type="dxa" w:w="20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403</w:t>
            </w:r>
          </w:p>
        </w:tc>
      </w:tr>
      <w:tr>
        <w:tc>
          <w:tcPr>
            <w:tcW w:type="dxa" w:w="2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exigirAdmin</w:t>
            </w:r>
          </w:p>
        </w:tc>
        <w:tc>
          <w:tcPr>
            <w:tcW w:type="dxa" w:w="48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Restringe a rota ao perfil administrador</w:t>
            </w:r>
          </w:p>
        </w:tc>
        <w:tc>
          <w:tcPr>
            <w:tcW w:type="dxa" w:w="20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403</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60" w:before="280"/>
      </w:pPr>
      <w:r>
        <w:rPr>
          <w:rFonts w:ascii="Times New Roman" w:cs="Times New Roman" w:eastAsia="Times New Roman" w:hAnsi="Times New Roman"/>
          <w:b/>
          <w:bCs/>
          <w:color w:val="000000"/>
          <w:sz w:val="26"/>
          <w:szCs w:val="26"/>
        </w:rPr>
        <w:t xml:space="preserve">4.3 Isolamento multiempresa</w:t>
      </w:r>
    </w:p>
    <w:p>
      <w:pPr>
        <w:spacing w:after="120" w:line="360"/>
        <w:ind w:firstLine="708"/>
        <w:jc w:val="both"/>
      </w:pPr>
      <w:r>
        <w:rPr>
          <w:rFonts w:ascii="Times New Roman" w:cs="Times New Roman" w:eastAsia="Times New Roman" w:hAnsi="Times New Roman"/>
          <w:sz w:val="24"/>
          <w:szCs w:val="24"/>
        </w:rPr>
        <w:t xml:space="preserve">Todas as consultas que retornam dados são filtradas pelo identificador da empresa obtido no middleware. Não existe no sistema qualquer consulta que retorne registros sem esse filtro. Na prática, mesmo que um administrador conheça o identificador de um EPI de outra empresa e o informe manualmente na requisição, a consulta não retornará resultado, pois a cláusula de filtro por empresa é aplicada simultaneamente. As operações de alteração seguem o mesmo princípio: verificam antes se o registro pertence à empresa do solicitante.</w:t>
      </w:r>
    </w:p>
    <w:p>
      <w:pPr>
        <w:pStyle w:val="Heading1"/>
        <w:spacing w:after="200" w:before="360"/>
      </w:pPr>
      <w:r>
        <w:rPr>
          <w:rFonts w:ascii="Times New Roman" w:cs="Times New Roman" w:eastAsia="Times New Roman" w:hAnsi="Times New Roman"/>
          <w:b/>
          <w:bCs/>
          <w:color w:val="000000"/>
          <w:sz w:val="28"/>
          <w:szCs w:val="28"/>
        </w:rPr>
        <w:t xml:space="preserve">5 PREVENÇÃO CONTRA SQL INJECTION</w:t>
      </w:r>
    </w:p>
    <w:p>
      <w:pPr>
        <w:pStyle w:val="Heading2"/>
        <w:spacing w:after="160" w:before="280"/>
      </w:pPr>
      <w:r>
        <w:rPr>
          <w:rFonts w:ascii="Times New Roman" w:cs="Times New Roman" w:eastAsia="Times New Roman" w:hAnsi="Times New Roman"/>
          <w:b/>
          <w:bCs/>
          <w:color w:val="000000"/>
          <w:sz w:val="26"/>
          <w:szCs w:val="26"/>
        </w:rPr>
        <w:t xml:space="preserve">5.1 Mecanismo adotado</w:t>
      </w:r>
    </w:p>
    <w:p>
      <w:pPr>
        <w:spacing w:after="120" w:line="360"/>
        <w:ind w:firstLine="708"/>
        <w:jc w:val="both"/>
      </w:pPr>
      <w:r>
        <w:rPr>
          <w:rFonts w:ascii="Times New Roman" w:cs="Times New Roman" w:eastAsia="Times New Roman" w:hAnsi="Times New Roman"/>
          <w:sz w:val="24"/>
          <w:szCs w:val="24"/>
        </w:rPr>
        <w:t xml:space="preserve">O SIGEPI utiliza consultas parametrizadas com prepared statements em todas as 81 operações de banco de dados existentes no sistema, sem exceção. O comando SQL é sempre uma constante escrita pelo desenvolvedor, e os dados fornecidos pelo usuário trafegam separadamente, em um vetor de parâmetros:</w:t>
      </w:r>
    </w:p>
    <w:p>
      <w:pPr>
        <w:shd w:fill="F2F2F2" w:val="clear"/>
        <w:spacing w:after="120" w:before="60" w:line="240"/>
        <w:ind w:left="340"/>
      </w:pPr>
      <w:r>
        <w:rPr>
          <w:rFonts w:ascii="Courier New" w:cs="Courier New" w:eastAsia="Courier New" w:hAnsi="Courier New"/>
          <w:sz w:val="20"/>
          <w:szCs w:val="20"/>
        </w:rPr>
        <w:t xml:space="preserve">await db.execute(
  'SELECT id_epi FROM tb_epi WHERE id_epi = ? AND tb_empresa_id_empresa = ?',
  [epi, empresa]
);</w:t>
      </w:r>
    </w:p>
    <w:p>
      <w:pPr>
        <w:spacing w:after="120" w:line="360"/>
        <w:ind w:firstLine="708"/>
        <w:jc w:val="both"/>
      </w:pPr>
      <w:r>
        <w:rPr>
          <w:rFonts w:ascii="Times New Roman" w:cs="Times New Roman" w:eastAsia="Times New Roman" w:hAnsi="Times New Roman"/>
          <w:sz w:val="24"/>
          <w:szCs w:val="24"/>
        </w:rPr>
        <w:t xml:space="preserve">Com o uso do método execute da biblioteca mysql2, o comando e os dados são enviados ao MySQL em pacotes distintos do protocolo. O banco de dados recebe primeiro a estrutura da consulta e depois os valores, já classificados como dados. Ainda que um usuário digite um comando SQL dentro de um campo do formulário, esse conteúdo jamais será interpretado como instrução: será tratado como texto literal a ser comparado.</w:t>
      </w:r>
    </w:p>
    <w:p>
      <w:pPr>
        <w:pStyle w:val="Heading2"/>
        <w:spacing w:after="160" w:before="280"/>
      </w:pPr>
      <w:r>
        <w:rPr>
          <w:rFonts w:ascii="Times New Roman" w:cs="Times New Roman" w:eastAsia="Times New Roman" w:hAnsi="Times New Roman"/>
          <w:b/>
          <w:bCs/>
          <w:color w:val="000000"/>
          <w:sz w:val="26"/>
          <w:szCs w:val="26"/>
        </w:rPr>
        <w:t xml:space="preserve">5.2 A única interpolação existente e por que ela é segura</w:t>
      </w:r>
    </w:p>
    <w:p>
      <w:pPr>
        <w:spacing w:after="120" w:line="360"/>
        <w:ind w:firstLine="708"/>
        <w:jc w:val="both"/>
      </w:pPr>
      <w:r>
        <w:rPr>
          <w:rFonts w:ascii="Times New Roman" w:cs="Times New Roman" w:eastAsia="Times New Roman" w:hAnsi="Times New Roman"/>
          <w:sz w:val="24"/>
          <w:szCs w:val="24"/>
        </w:rPr>
        <w:t xml:space="preserve">No controlador do painel gerencial existe uma interpolação dentro do comando SQL, referente ao filtro opcional de mês:</w:t>
      </w:r>
    </w:p>
    <w:p>
      <w:pPr>
        <w:shd w:fill="F2F2F2" w:val="clear"/>
        <w:spacing w:after="120" w:before="60" w:line="240"/>
        <w:ind w:left="340"/>
      </w:pPr>
      <w:r>
        <w:rPr>
          <w:rFonts w:ascii="Courier New" w:cs="Courier New" w:eastAsia="Courier New" w:hAnsi="Courier New"/>
          <w:sz w:val="20"/>
          <w:szCs w:val="20"/>
        </w:rPr>
        <w:t xml:space="preserve">let condMes = '';
if (mes) { condMes = ' AND MONTH(e.dt_entrega) = ?'; filtroEntrega.push(mes); }
... WHERE f.tb_empresa_id_empresa = ? AND YEAR(e.dt_entrega) = ?${condMes}</w:t>
      </w:r>
    </w:p>
    <w:p>
      <w:pPr>
        <w:spacing w:after="120" w:line="360"/>
        <w:ind w:firstLine="708"/>
        <w:jc w:val="both"/>
      </w:pPr>
      <w:r>
        <w:rPr>
          <w:rFonts w:ascii="Times New Roman" w:cs="Times New Roman" w:eastAsia="Times New Roman" w:hAnsi="Times New Roman"/>
          <w:sz w:val="24"/>
          <w:szCs w:val="24"/>
        </w:rPr>
        <w:t xml:space="preserve">A construção é segura porque o que se interpola é estrutura, não dado. O conteúdo da variável condMes é uma cadeia de caracteres fixa, escrita pelo desenvolvedor, que não contém nenhuma informação vinda do usuário. O valor do mês continua sendo enviado como parâmetro, e adicionalmente é convertido para número inteiro antes do uso. Essa distinção — interpolar estrutura é aceitável, interpolar dado é vulnerabilidade — é precisamente o que define o SQL Injection.</w:t>
      </w:r>
    </w:p>
    <w:p>
      <w:pPr>
        <w:pStyle w:val="Heading2"/>
        <w:spacing w:after="160" w:before="280"/>
      </w:pPr>
      <w:r>
        <w:rPr>
          <w:rFonts w:ascii="Times New Roman" w:cs="Times New Roman" w:eastAsia="Times New Roman" w:hAnsi="Times New Roman"/>
          <w:b/>
          <w:bCs/>
          <w:color w:val="000000"/>
          <w:sz w:val="26"/>
          <w:szCs w:val="26"/>
        </w:rPr>
        <w:t xml:space="preserve">5.3 O que não é considerado proteção contra SQL Injection</w:t>
      </w:r>
    </w:p>
    <w:p>
      <w:pPr>
        <w:spacing w:after="120" w:line="360"/>
        <w:ind w:firstLine="708"/>
        <w:jc w:val="both"/>
      </w:pPr>
      <w:r>
        <w:rPr>
          <w:rFonts w:ascii="Times New Roman" w:cs="Times New Roman" w:eastAsia="Times New Roman" w:hAnsi="Times New Roman"/>
          <w:sz w:val="24"/>
          <w:szCs w:val="24"/>
        </w:rPr>
        <w:t xml:space="preserve">O sistema possui validação de CPF e CNPJ por dígito verificador, conversão de tipos e restrição de valores por meio de ENUM no banco. Essas medidas compõem a defesa em profundidade, mas é importante registrar que elas não são a proteção contra injeção de SQL. Nomes legítimos podem conter apóstrofo, e bloquear caracteres seria tanto insuficiente quanto prejudicial à usabilidade. Quem neutraliza a injeção é exclusivamente a parametrização.</w:t>
      </w:r>
    </w:p>
    <w:p>
      <w:pPr>
        <w:pStyle w:val="Heading1"/>
        <w:spacing w:after="200" w:before="360"/>
      </w:pPr>
      <w:r>
        <w:rPr>
          <w:rFonts w:ascii="Times New Roman" w:cs="Times New Roman" w:eastAsia="Times New Roman" w:hAnsi="Times New Roman"/>
          <w:b/>
          <w:bCs/>
          <w:color w:val="000000"/>
          <w:sz w:val="28"/>
          <w:szCs w:val="28"/>
        </w:rPr>
        <w:t xml:space="preserve">6 PREVENÇÃO CONTRA XSS</w:t>
      </w:r>
    </w:p>
    <w:p>
      <w:pPr>
        <w:spacing w:after="120" w:line="360"/>
        <w:ind w:firstLine="708"/>
        <w:jc w:val="both"/>
      </w:pPr>
      <w:r>
        <w:rPr>
          <w:rFonts w:ascii="Times New Roman" w:cs="Times New Roman" w:eastAsia="Times New Roman" w:hAnsi="Times New Roman"/>
          <w:sz w:val="24"/>
          <w:szCs w:val="24"/>
        </w:rPr>
        <w:t xml:space="preserve">Cross-Site Scripting (XSS) ocorre quando conteúdo fornecido por um usuário é interpretado como código pelo navegador de outro usuário. No contexto do SIGEPI, um funcionário mal-intencionado poderia cadastrar um EPI cujo nome contivesse uma instrução em JavaScript; ao abrir a listagem, o administrador executaria esse código com a sua própria sessão.</w:t>
      </w:r>
    </w:p>
    <w:p>
      <w:pPr>
        <w:spacing w:after="120" w:line="360"/>
        <w:ind w:firstLine="708"/>
        <w:jc w:val="both"/>
      </w:pPr>
      <w:r>
        <w:rPr>
          <w:rFonts w:ascii="Times New Roman" w:cs="Times New Roman" w:eastAsia="Times New Roman" w:hAnsi="Times New Roman"/>
          <w:sz w:val="24"/>
          <w:szCs w:val="24"/>
        </w:rPr>
        <w:t xml:space="preserve">A defesa adotada é sistemática: todo conteúdo dinâmico é inserido na página por meio das propriedades textContent e do método createElement. Não se utiliza innerHTML com dados provenientes do usuário em nenhum ponto do sistema. A diferença é decisiva: textContent instrui o navegador a tratar o conteúdo como texto a ser exibido, e não como marcação a ser interpretada. Um script inserido em um campo aparece na tela como texto comum e não é executado.</w:t>
      </w:r>
    </w:p>
    <w:p>
      <w:pPr>
        <w:spacing w:after="120" w:line="360"/>
        <w:ind w:firstLine="708"/>
        <w:jc w:val="both"/>
      </w:pPr>
      <w:r>
        <w:rPr>
          <w:rFonts w:ascii="Times New Roman" w:cs="Times New Roman" w:eastAsia="Times New Roman" w:hAnsi="Times New Roman"/>
          <w:sz w:val="24"/>
          <w:szCs w:val="24"/>
        </w:rPr>
        <w:t xml:space="preserve">Complementarmente, o middleware helmet aplica cabeçalhos HTTP de proteção nas respostas da API, entre eles os que impedem a interpretação incorreta de tipos de conteúdo e restringem a exibição do sistema dentro de quadros externos, medida que dificulta ataques de clickjacking.</w:t>
      </w:r>
    </w:p>
    <w:p>
      <w:pPr>
        <w:pStyle w:val="Heading1"/>
        <w:spacing w:after="200" w:before="360"/>
      </w:pPr>
      <w:r>
        <w:rPr>
          <w:rFonts w:ascii="Times New Roman" w:cs="Times New Roman" w:eastAsia="Times New Roman" w:hAnsi="Times New Roman"/>
          <w:b/>
          <w:bCs/>
          <w:color w:val="000000"/>
          <w:sz w:val="28"/>
          <w:szCs w:val="28"/>
        </w:rPr>
        <w:t xml:space="preserve">7 SEGURANÇA NO BANCO DE DADOS</w:t>
      </w:r>
    </w:p>
    <w:p>
      <w:pPr>
        <w:pStyle w:val="Heading2"/>
        <w:spacing w:after="160" w:before="280"/>
      </w:pPr>
      <w:r>
        <w:rPr>
          <w:rFonts w:ascii="Times New Roman" w:cs="Times New Roman" w:eastAsia="Times New Roman" w:hAnsi="Times New Roman"/>
          <w:b/>
          <w:bCs/>
          <w:color w:val="000000"/>
          <w:sz w:val="26"/>
          <w:szCs w:val="26"/>
        </w:rPr>
        <w:t xml:space="preserve">7.1 Integridade por tipagem (ENUM)</w:t>
      </w:r>
    </w:p>
    <w:p>
      <w:pPr>
        <w:spacing w:after="120" w:line="360"/>
        <w:ind w:firstLine="708"/>
        <w:jc w:val="both"/>
      </w:pPr>
      <w:r>
        <w:rPr>
          <w:rFonts w:ascii="Times New Roman" w:cs="Times New Roman" w:eastAsia="Times New Roman" w:hAnsi="Times New Roman"/>
          <w:sz w:val="24"/>
          <w:szCs w:val="24"/>
        </w:rPr>
        <w:t xml:space="preserve">Os campos de situação e tipo do sistema foram inicialmente definidos como CHAR e posteriormente convertidos para ENUM. A alteração tem propósito de segurança: o ENUM restringe os valores aceitos apenas àqueles previamente definidos. Um status inválido é rejeitado pelo próprio banco de dados, independentemente do que a aplicação tente gravar. Trata-se da última camada de validação, atuando mesmo em caso de falha nas camadas anteriores.</w:t>
      </w:r>
    </w:p>
    <w:p>
      <w:pPr>
        <w:pStyle w:val="Heading2"/>
        <w:spacing w:after="160" w:before="280"/>
      </w:pPr>
      <w:r>
        <w:rPr>
          <w:rFonts w:ascii="Times New Roman" w:cs="Times New Roman" w:eastAsia="Times New Roman" w:hAnsi="Times New Roman"/>
          <w:b/>
          <w:bCs/>
          <w:color w:val="000000"/>
          <w:sz w:val="26"/>
          <w:szCs w:val="26"/>
        </w:rPr>
        <w:t xml:space="preserve">7.2 Exclusão lógica</w:t>
      </w:r>
    </w:p>
    <w:p>
      <w:pPr>
        <w:spacing w:after="120" w:line="360"/>
        <w:ind w:firstLine="708"/>
        <w:jc w:val="both"/>
      </w:pPr>
      <w:r>
        <w:rPr>
          <w:rFonts w:ascii="Times New Roman" w:cs="Times New Roman" w:eastAsia="Times New Roman" w:hAnsi="Times New Roman"/>
          <w:sz w:val="24"/>
          <w:szCs w:val="24"/>
        </w:rPr>
        <w:t xml:space="preserve">O sistema não realiza exclusão física de registros de funcionários e EPIs. A inativação altera o status do registro e, no caso de funcionários, grava obrigatoriamente o motivo e a data da inativação. A decisão atende diretamente ao pilar de rastreabilidade: um EPI entregue no passado precisa continuar existindo no histórico, ainda que não esteja mais em uso. A exclusão física destruiria o encadeamento das entregas e inviabilizaria a auditoria.</w:t>
      </w:r>
    </w:p>
    <w:p>
      <w:pPr>
        <w:pStyle w:val="Heading2"/>
        <w:spacing w:after="160" w:before="280"/>
      </w:pPr>
      <w:r>
        <w:rPr>
          <w:rFonts w:ascii="Times New Roman" w:cs="Times New Roman" w:eastAsia="Times New Roman" w:hAnsi="Times New Roman"/>
          <w:b/>
          <w:bCs/>
          <w:color w:val="000000"/>
          <w:sz w:val="26"/>
          <w:szCs w:val="26"/>
        </w:rPr>
        <w:t xml:space="preserve">7.3 Integridade referencial e transações</w:t>
      </w:r>
    </w:p>
    <w:p>
      <w:pPr>
        <w:spacing w:after="120" w:line="360"/>
        <w:ind w:firstLine="708"/>
        <w:jc w:val="both"/>
      </w:pPr>
      <w:r>
        <w:rPr>
          <w:rFonts w:ascii="Times New Roman" w:cs="Times New Roman" w:eastAsia="Times New Roman" w:hAnsi="Times New Roman"/>
          <w:sz w:val="24"/>
          <w:szCs w:val="24"/>
        </w:rPr>
        <w:t xml:space="preserve">Os relacionamentos entre tabelas são garantidos por chaves estrangeiras, impedindo registros órfãos. As operações que envolvem múltiplas alterações — como entrada e saída de estoque, cadastro de EPI com vínculo a setores e inativação de funcionário — são executadas dentro de transações. Nesses trechos o sistema obtém uma conexão dedicada, inicia a transação e só confirma as alterações ao final; havendo falha em qualquer etapa, executa-se o rollback e o banco retorna ao estado anterior. Isso impede situações inconsistentes, como baixa de estoque sem o registro correspondente de entrega.</w:t>
      </w:r>
    </w:p>
    <w:p>
      <w:pPr>
        <w:pStyle w:val="Heading2"/>
        <w:spacing w:after="160" w:before="280"/>
      </w:pPr>
      <w:r>
        <w:rPr>
          <w:rFonts w:ascii="Times New Roman" w:cs="Times New Roman" w:eastAsia="Times New Roman" w:hAnsi="Times New Roman"/>
          <w:b/>
          <w:bCs/>
          <w:color w:val="000000"/>
          <w:sz w:val="26"/>
          <w:szCs w:val="26"/>
        </w:rPr>
        <w:t xml:space="preserve">7.4 Controle de estoque por FIFO</w:t>
      </w:r>
    </w:p>
    <w:p>
      <w:pPr>
        <w:spacing w:after="120" w:line="360"/>
        <w:ind w:firstLine="708"/>
        <w:jc w:val="both"/>
      </w:pPr>
      <w:r>
        <w:rPr>
          <w:rFonts w:ascii="Times New Roman" w:cs="Times New Roman" w:eastAsia="Times New Roman" w:hAnsi="Times New Roman"/>
          <w:sz w:val="24"/>
          <w:szCs w:val="24"/>
        </w:rPr>
        <w:t xml:space="preserve">A baixa de estoque segue a lógica FIFO, priorizando o lote de validade mais próxima, por meio de trigger no banco de dados. Além do ganho operacional, a implementação no banco garante que a regra seja aplicada de forma consistente, sem depender de a aplicação lembrar de executá-la.</w:t>
      </w:r>
    </w:p>
    <w:p>
      <w:pPr>
        <w:pStyle w:val="Heading2"/>
        <w:spacing w:after="160" w:before="280"/>
      </w:pPr>
      <w:r>
        <w:rPr>
          <w:rFonts w:ascii="Times New Roman" w:cs="Times New Roman" w:eastAsia="Times New Roman" w:hAnsi="Times New Roman"/>
          <w:b/>
          <w:bCs/>
          <w:color w:val="000000"/>
          <w:sz w:val="26"/>
          <w:szCs w:val="26"/>
        </w:rPr>
        <w:t xml:space="preserve">7.5 Princípio do menor privilégio</w:t>
      </w:r>
    </w:p>
    <w:p>
      <w:pPr>
        <w:spacing w:after="120" w:line="360"/>
        <w:ind w:firstLine="708"/>
        <w:jc w:val="both"/>
      </w:pPr>
      <w:r>
        <w:rPr>
          <w:rFonts w:ascii="Times New Roman" w:cs="Times New Roman" w:eastAsia="Times New Roman" w:hAnsi="Times New Roman"/>
          <w:sz w:val="24"/>
          <w:szCs w:val="24"/>
        </w:rPr>
        <w:t xml:space="preserve">Em ambiente de produção, a aplicação deve conectar-se ao banco de dados por meio de um usuário dedicado, com permissões restritas às operações efetivamente necessárias (SELECT, INSERT, UPDATE e DELETE) sobre o esquema do sistema, sem permissões de estrutura como DROP, CREATE ou ALTER. O objetivo é de contenção: caso alguma camada de prevenção falhe, o dano possível fica limitado. Durante o desenvolvimento utilizou-se o usuário administrativo padrão do ambiente XAMPP; a criação do usuário restrito está prevista para a etapa de hospedagem.</w:t>
      </w:r>
    </w:p>
    <w:p>
      <w:pPr>
        <w:pStyle w:val="Heading1"/>
        <w:spacing w:after="200" w:before="360"/>
      </w:pPr>
      <w:r>
        <w:rPr>
          <w:rFonts w:ascii="Times New Roman" w:cs="Times New Roman" w:eastAsia="Times New Roman" w:hAnsi="Times New Roman"/>
          <w:b/>
          <w:bCs/>
          <w:color w:val="000000"/>
          <w:sz w:val="28"/>
          <w:szCs w:val="28"/>
        </w:rPr>
        <w:t xml:space="preserve">8 RASTREABILIDADE E AUDITORIA</w:t>
      </w:r>
    </w:p>
    <w:p>
      <w:pPr>
        <w:spacing w:after="120" w:line="360"/>
        <w:ind w:firstLine="708"/>
        <w:jc w:val="both"/>
      </w:pPr>
      <w:r>
        <w:rPr>
          <w:rFonts w:ascii="Times New Roman" w:cs="Times New Roman" w:eastAsia="Times New Roman" w:hAnsi="Times New Roman"/>
          <w:sz w:val="24"/>
          <w:szCs w:val="24"/>
        </w:rPr>
        <w:t xml:space="preserve">A rastreabilidade é o segundo pilar do projeto e materializa-se na tabela de logs de auditoria. Toda ação relevante gera automaticamente um registro contendo o tipo da ação, a data e a hora, uma descrição, o equipamento e a quantidade quando aplicáveis, o motivo quando exigido, o responsável e a empresa.</w:t>
      </w:r>
    </w:p>
    <w:p>
      <w:pPr>
        <w:spacing w:after="120" w:line="360"/>
        <w:ind w:firstLine="708"/>
        <w:jc w:val="both"/>
      </w:pPr>
      <w:r>
        <w:rPr>
          <w:rFonts w:ascii="Times New Roman" w:cs="Times New Roman" w:eastAsia="Times New Roman" w:hAnsi="Times New Roman"/>
          <w:sz w:val="24"/>
          <w:szCs w:val="24"/>
        </w:rPr>
        <w:t xml:space="preserve">As ações registradas são: cadastro e inativação de EPI, entrada e saída de estoque, entrega, devolução, edição e inativação de funcionário, e aprovação ou recusa de solicitação. O registro é feito por uma função utilitária única, reutilizada por todos os controladores, o que evita duplicação de código e garante padronização.</w:t>
      </w:r>
    </w:p>
    <w:p>
      <w:pPr>
        <w:spacing w:after="120" w:line="360"/>
        <w:ind w:firstLine="708"/>
        <w:jc w:val="both"/>
      </w:pPr>
      <w:r>
        <w:rPr>
          <w:rFonts w:ascii="Times New Roman" w:cs="Times New Roman" w:eastAsia="Times New Roman" w:hAnsi="Times New Roman"/>
          <w:sz w:val="24"/>
          <w:szCs w:val="24"/>
        </w:rPr>
        <w:t xml:space="preserve">Uma decisão específica merece registro: a função de log captura seus próprios erros e não interrompe a operação principal. Optou-se por não permitir que uma falha ao gravar o histórico impeça, por exemplo, a entrega de um equipamento de proteção a um trabalhador. A operação de segurança do trabalho tem precedência sobre o registro administrativo.</w:t>
      </w:r>
    </w:p>
    <w:p>
      <w:pPr>
        <w:spacing w:after="120" w:line="360"/>
        <w:ind w:firstLine="708"/>
        <w:jc w:val="both"/>
      </w:pPr>
      <w:r>
        <w:rPr>
          <w:rFonts w:ascii="Times New Roman" w:cs="Times New Roman" w:eastAsia="Times New Roman" w:hAnsi="Times New Roman"/>
          <w:sz w:val="24"/>
          <w:szCs w:val="24"/>
        </w:rPr>
        <w:t xml:space="preserve">Na interface, o histórico apresenta o responsável identificado por nome e CPF — o CPF é necessário para desambiguar funcionários homônimos —, permite filtragem por tipo de ação e por data, e possibilita exportação em PDF, viabilizando a apresentação do histórico em auditorias externas ou fiscalizações.</w:t>
      </w:r>
    </w:p>
    <w:p>
      <w:pPr>
        <w:pStyle w:val="Heading1"/>
        <w:spacing w:after="200" w:before="360"/>
      </w:pPr>
      <w:r>
        <w:rPr>
          <w:rFonts w:ascii="Times New Roman" w:cs="Times New Roman" w:eastAsia="Times New Roman" w:hAnsi="Times New Roman"/>
          <w:b/>
          <w:bCs/>
          <w:color w:val="000000"/>
          <w:sz w:val="28"/>
          <w:szCs w:val="28"/>
        </w:rPr>
        <w:t xml:space="preserve">9 SEGURANÇA NO FRONT-END</w:t>
      </w:r>
    </w:p>
    <w:p>
      <w:pPr>
        <w:pStyle w:val="Heading2"/>
        <w:spacing w:after="160" w:before="280"/>
      </w:pPr>
      <w:r>
        <w:rPr>
          <w:rFonts w:ascii="Times New Roman" w:cs="Times New Roman" w:eastAsia="Times New Roman" w:hAnsi="Times New Roman"/>
          <w:b/>
          <w:bCs/>
          <w:color w:val="000000"/>
          <w:sz w:val="26"/>
          <w:szCs w:val="26"/>
        </w:rPr>
        <w:t xml:space="preserve">9.1 Proteção de páginas</w:t>
      </w:r>
    </w:p>
    <w:p>
      <w:pPr>
        <w:spacing w:after="120" w:line="360"/>
        <w:ind w:firstLine="708"/>
        <w:jc w:val="both"/>
      </w:pPr>
      <w:r>
        <w:rPr>
          <w:rFonts w:ascii="Times New Roman" w:cs="Times New Roman" w:eastAsia="Times New Roman" w:hAnsi="Times New Roman"/>
          <w:sz w:val="24"/>
          <w:szCs w:val="24"/>
        </w:rPr>
        <w:t xml:space="preserve">As páginas restritas são marcadas por um atributo no corpo do documento, e uma verificação executada no carregamento redireciona ao login quando não há token válido. As requisições à API são realizadas por uma função auxiliar única, responsável por anexar o token de autenticação em todas as chamadas.</w:t>
      </w:r>
    </w:p>
    <w:p>
      <w:pPr>
        <w:spacing w:after="120" w:line="360"/>
        <w:ind w:firstLine="708"/>
        <w:jc w:val="both"/>
      </w:pPr>
      <w:r>
        <w:rPr>
          <w:rFonts w:ascii="Times New Roman" w:cs="Times New Roman" w:eastAsia="Times New Roman" w:hAnsi="Times New Roman"/>
          <w:sz w:val="24"/>
          <w:szCs w:val="24"/>
        </w:rPr>
        <w:t xml:space="preserve">Cabe uma ressalva conceitual importante: essa proteção é de experiência de uso, não de segurança. Ocultar um botão ou redirecionar uma página não impede que alguém chame a API diretamente. A segurança efetiva está inteiramente no servidor, que rejeita a requisição independentemente do que a interface exiba. O front-end orienta o usuário legítimo; o back-end é quem impede o ilegítimo.</w:t>
      </w:r>
    </w:p>
    <w:p>
      <w:pPr>
        <w:pStyle w:val="Heading2"/>
        <w:spacing w:after="160" w:before="280"/>
      </w:pPr>
      <w:r>
        <w:rPr>
          <w:rFonts w:ascii="Times New Roman" w:cs="Times New Roman" w:eastAsia="Times New Roman" w:hAnsi="Times New Roman"/>
          <w:b/>
          <w:bCs/>
          <w:color w:val="000000"/>
          <w:sz w:val="26"/>
          <w:szCs w:val="26"/>
        </w:rPr>
        <w:t xml:space="preserve">9.2 Uso do localStorage: análise crítica</w:t>
      </w:r>
    </w:p>
    <w:p>
      <w:pPr>
        <w:spacing w:after="120" w:line="360"/>
        <w:ind w:firstLine="708"/>
        <w:jc w:val="both"/>
      </w:pPr>
      <w:r>
        <w:rPr>
          <w:rFonts w:ascii="Times New Roman" w:cs="Times New Roman" w:eastAsia="Times New Roman" w:hAnsi="Times New Roman"/>
          <w:sz w:val="24"/>
          <w:szCs w:val="24"/>
        </w:rPr>
        <w:t xml:space="preserve">O token de autenticação é armazenado no localStorage do navegador. Como essa é uma decisão frequentemente questionada, ela é justificada detalhadamente a seguir.</w:t>
      </w:r>
    </w:p>
    <w:p>
      <w:pPr>
        <w:spacing w:after="120" w:line="360"/>
        <w:ind w:firstLine="708"/>
        <w:jc w:val="both"/>
      </w:pPr>
      <w:r>
        <w:rPr>
          <w:rFonts w:ascii="Times New Roman" w:cs="Times New Roman" w:eastAsia="Times New Roman" w:hAnsi="Times New Roman"/>
          <w:sz w:val="24"/>
          <w:szCs w:val="24"/>
        </w:rPr>
        <w:t xml:space="preserve">O risco associado ao localStorage é real e específico: seu conteúdo é acessível por JavaScript executado na página. Em caso de vulnerabilidade de XSS, um script malicioso poderia ler o token e utilizá-lo para se passar pelo usuário. A alternativa tecnicamente superior é o armazenamento em cookie com o atributo HttpOnly, que impede o acesso por JavaScript — mas exige tratamento adicional contra CSRF e configuração de domínio, complexidade que extrapola o escopo previsto para o trabalho.</w:t>
      </w:r>
    </w:p>
    <w:p>
      <w:pPr>
        <w:spacing w:after="120" w:line="360"/>
        <w:ind w:firstLine="708"/>
        <w:jc w:val="both"/>
      </w:pPr>
      <w:r>
        <w:rPr>
          <w:rFonts w:ascii="Times New Roman" w:cs="Times New Roman" w:eastAsia="Times New Roman" w:hAnsi="Times New Roman"/>
          <w:sz w:val="24"/>
          <w:szCs w:val="24"/>
        </w:rPr>
        <w:t xml:space="preserve">A decisão de utilizar o localStorage foi consciente e está apoiada em três fatores. Primeiro, o vetor de ataque contra o localStorage é o XSS, e o sistema trata o XSS de forma sistemática, não utilizando innerHTML com dados de usuário em nenhum ponto — eliminada a causa, o risco torna-se remoto. Segundo, o token é assinado e tem validade limitada a 8 horas, o que restringe a janela de exploração. Terceiro, e mais relevante: o token não contém dados sensíveis. A empresa e o perfil do usuário são obtidos do banco de dados a cada requisição, de modo que a posse do token não confere ao portador nenhum privilégio adicional além da identidade do usuário. Em um cenário de evolução do sistema para uso comercial, a migração para cookie HttpOnly está indicada como melhoria prioritária.</w:t>
      </w:r>
    </w:p>
    <w:p>
      <w:pPr>
        <w:spacing w:after="120" w:line="360"/>
        <w:ind w:firstLine="708"/>
        <w:jc w:val="both"/>
      </w:pPr>
      <w:r>
        <w:rPr>
          <w:rFonts w:ascii="Times New Roman" w:cs="Times New Roman" w:eastAsia="Times New Roman" w:hAnsi="Times New Roman"/>
          <w:sz w:val="24"/>
          <w:szCs w:val="24"/>
        </w:rPr>
        <w:t xml:space="preserve">O localStorage é utilizado ainda para registrar o aceite dos Termos de Uso, com versão e data e hora. Nesse caso não há risco de segurança envolvido, uma vez que a informação não é sigilosa e não concede acesso a nada; trata-se de registro de conveniência da interface.</w:t>
      </w:r>
    </w:p>
    <w:p>
      <w:pPr>
        <w:pStyle w:val="Heading1"/>
        <w:spacing w:after="200" w:before="360"/>
      </w:pPr>
      <w:r>
        <w:rPr>
          <w:rFonts w:ascii="Times New Roman" w:cs="Times New Roman" w:eastAsia="Times New Roman" w:hAnsi="Times New Roman"/>
          <w:b/>
          <w:bCs/>
          <w:color w:val="000000"/>
          <w:sz w:val="28"/>
          <w:szCs w:val="28"/>
        </w:rPr>
        <w:t xml:space="preserve">10 PROTEÇÃO DE CREDENCIAIS E CONFIGURAÇÃO</w:t>
      </w:r>
    </w:p>
    <w:p>
      <w:pPr>
        <w:spacing w:after="120" w:line="360"/>
        <w:ind w:firstLine="708"/>
        <w:jc w:val="both"/>
      </w:pPr>
      <w:r>
        <w:rPr>
          <w:rFonts w:ascii="Times New Roman" w:cs="Times New Roman" w:eastAsia="Times New Roman" w:hAnsi="Times New Roman"/>
          <w:sz w:val="24"/>
          <w:szCs w:val="24"/>
        </w:rPr>
        <w:t xml:space="preserve">As credenciais do banco de dados e a chave secreta de assinatura dos tokens não constam no código-fonte. Estão isoladas em arquivo de variáveis de ambiente, explicitamente incluído no arquivo de exclusões do controle de versão, o que impede seu envio ao repositório público. Essa separação permite ainda que os valores utilizados em desenvolvimento sejam diferentes dos de produção, sem qualquer alteração de código.</w:t>
      </w:r>
    </w:p>
    <w:p>
      <w:pPr>
        <w:spacing w:after="120" w:line="360"/>
        <w:ind w:firstLine="708"/>
        <w:jc w:val="both"/>
      </w:pPr>
      <w:r>
        <w:rPr>
          <w:rFonts w:ascii="Times New Roman" w:cs="Times New Roman" w:eastAsia="Times New Roman" w:hAnsi="Times New Roman"/>
          <w:sz w:val="24"/>
          <w:szCs w:val="24"/>
        </w:rPr>
        <w:t xml:space="preserve">Como boa prática complementar, recomenda-se a manutenção de um arquivo de exemplo contendo apenas os nomes das variáveis, sem valores, permitindo que outro desenvolvedor reproduza a configuração sem ter acesso aos segredos. Recomenda-se também a regeneração da chave de assinatura e da senha do banco antes da publicação em ambiente de produção.</w:t>
      </w:r>
    </w:p>
    <w:p>
      <w:pPr>
        <w:pStyle w:val="Heading1"/>
        <w:spacing w:after="200" w:before="360"/>
      </w:pPr>
      <w:r>
        <w:rPr>
          <w:rFonts w:ascii="Times New Roman" w:cs="Times New Roman" w:eastAsia="Times New Roman" w:hAnsi="Times New Roman"/>
          <w:b/>
          <w:bCs/>
          <w:color w:val="000000"/>
          <w:sz w:val="28"/>
          <w:szCs w:val="28"/>
        </w:rPr>
        <w:t xml:space="preserve">11 CONTROLE DE ACESSO ENTRE PERFIS</w:t>
      </w:r>
    </w:p>
    <w:p>
      <w:pPr>
        <w:spacing w:after="120" w:line="360"/>
        <w:ind w:firstLine="708"/>
        <w:jc w:val="both"/>
      </w:pPr>
      <w:r>
        <w:rPr>
          <w:rFonts w:ascii="Times New Roman" w:cs="Times New Roman" w:eastAsia="Times New Roman" w:hAnsi="Times New Roman"/>
          <w:sz w:val="24"/>
          <w:szCs w:val="24"/>
        </w:rPr>
        <w:t xml:space="preserve">O modelo de acesso do sistema é, em si, uma decisão de segurança. O administrador não cadastra funcionários: ele cadastra a empresa, e o sistema gera um código único de acesso. O próprio funcionário cria sua conta e vincula-se à empresa informando esse código. A identidade — CPF, endereço eletrônico e senha — pertence exclusivamente ao seu titular, e em nenhum momento o administrador define a senha de outro usuário.</w:t>
      </w:r>
    </w:p>
    <w:p>
      <w:pPr>
        <w:spacing w:after="120" w:line="360"/>
        <w:ind w:firstLine="708"/>
        <w:jc w:val="both"/>
      </w:pPr>
      <w:r>
        <w:rPr>
          <w:rFonts w:ascii="Times New Roman" w:cs="Times New Roman" w:eastAsia="Times New Roman" w:hAnsi="Times New Roman"/>
          <w:sz w:val="24"/>
          <w:szCs w:val="24"/>
        </w:rPr>
        <w:t xml:space="preserve">As permissões seguem o perfil: o administrador gerencia setores, EPIs, estoque, entregas e solicitações; o funcionário consulta seus próprios equipamentos e registra solicitações. Uma trava específica no servidor impede que o funcionário solicite EPI que não pertença ao seu setor, regra validada no back-end e não apenas restringida na interface.</w:t>
      </w:r>
    </w:p>
    <w:p>
      <w:pPr>
        <w:pStyle w:val="Heading1"/>
        <w:spacing w:after="200" w:before="360"/>
      </w:pPr>
      <w:r>
        <w:rPr>
          <w:rFonts w:ascii="Times New Roman" w:cs="Times New Roman" w:eastAsia="Times New Roman" w:hAnsi="Times New Roman"/>
          <w:b/>
          <w:bCs/>
          <w:color w:val="000000"/>
          <w:sz w:val="28"/>
          <w:szCs w:val="28"/>
        </w:rPr>
        <w:t xml:space="preserve">12 LIMITAÇÕES CONHECIDAS</w:t>
      </w:r>
    </w:p>
    <w:p>
      <w:pPr>
        <w:spacing w:after="120" w:line="360"/>
        <w:ind w:firstLine="708"/>
        <w:jc w:val="both"/>
      </w:pPr>
      <w:r>
        <w:rPr>
          <w:rFonts w:ascii="Times New Roman" w:cs="Times New Roman" w:eastAsia="Times New Roman" w:hAnsi="Times New Roman"/>
          <w:sz w:val="24"/>
          <w:szCs w:val="24"/>
        </w:rPr>
        <w:t xml:space="preserve">Esta seção apresenta, de forma transparente, as fragilidades identificadas e ainda não tratadas. O registro explícito dessas limitações é considerado parte da maturidade do projeto.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Usuário administrativo do banco em desenvolvimento: durante o desenvolvimento utilizou-se o usuário padrão do ambiente local, sem restrição de privilégios. A criação de usuário dedicado com permissões mínimas está prevista para a hospedagem.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Token em localStorage: conforme analisado na seção 9.2, a alternativa mais segura seria o cookie com atributo HttpOnly, o que demandaria tratamento adicional contra CSRF.</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Aceite dos Termos registrado no cliente: o aceite é gravado no navegador. O registro definitivo deveria ocorrer no servidor, vinculado ao cadastro do usuário, com versão e data e hora persistidas no banco.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Dependência de conexão para o reCAPTCHA: a verificação depende de comunicação com o serviço do Google; sem conexão à internet, o login não é concluído.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Registro de auditoria fora da transação: a gravação do log utiliza conexão distinta da transação principal. Em caso de rollback, o registro de log correspondente permanece gravado. Optou-se conscientemente por essa configuração, pois a falha de log não deve impedir a operação principal.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Ausência de política de expiração e troca periódica de senhas, bem como de mecanismo de recuperação de senha, funcionalidades não contempladas no escopo do trabalho.</w:t>
      </w:r>
    </w:p>
    <w:p>
      <w:pPr>
        <w:pStyle w:val="Heading1"/>
        <w:spacing w:after="200" w:before="360"/>
      </w:pPr>
      <w:r>
        <w:rPr>
          <w:rFonts w:ascii="Times New Roman" w:cs="Times New Roman" w:eastAsia="Times New Roman" w:hAnsi="Times New Roman"/>
          <w:b/>
          <w:bCs/>
          <w:color w:val="000000"/>
          <w:sz w:val="28"/>
          <w:szCs w:val="28"/>
        </w:rPr>
        <w:t xml:space="preserve">13 SÍNTESE DAS CAMADAS DE PROTEÇÃO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c>
          <w:tcPr>
            <w:tcW w:type="dxa" w:w="2400"/>
            <w:shd w:fill="D9D9D9" w:val="clear"/>
            <w:tcMar>
              <w:top w:type="dxa" w:w="80"/>
              <w:left w:type="dxa" w:w="120"/>
              <w:bottom w:type="dxa" w:w="80"/>
              <w:right w:type="dxa" w:w="120"/>
            </w:tcMar>
          </w:tcPr>
          <w:p>
            <w:pPr>
              <w:spacing w:line="276"/>
            </w:pPr>
            <w:r>
              <w:rPr>
                <w:rFonts w:ascii="Times New Roman" w:cs="Times New Roman" w:eastAsia="Times New Roman" w:hAnsi="Times New Roman"/>
                <w:b/>
                <w:bCs/>
                <w:sz w:val="22"/>
                <w:szCs w:val="22"/>
              </w:rPr>
              <w:t xml:space="preserve">Camada</w:t>
            </w:r>
          </w:p>
        </w:tc>
        <w:tc>
          <w:tcPr>
            <w:tcW w:type="dxa" w:w="4200"/>
            <w:shd w:fill="D9D9D9" w:val="clear"/>
            <w:tcMar>
              <w:top w:type="dxa" w:w="80"/>
              <w:left w:type="dxa" w:w="120"/>
              <w:bottom w:type="dxa" w:w="80"/>
              <w:right w:type="dxa" w:w="120"/>
            </w:tcMar>
          </w:tcPr>
          <w:p>
            <w:pPr>
              <w:spacing w:line="276"/>
            </w:pPr>
            <w:r>
              <w:rPr>
                <w:rFonts w:ascii="Times New Roman" w:cs="Times New Roman" w:eastAsia="Times New Roman" w:hAnsi="Times New Roman"/>
                <w:b/>
                <w:bCs/>
                <w:sz w:val="22"/>
                <w:szCs w:val="22"/>
              </w:rPr>
              <w:t xml:space="preserve">Mecanismo</w:t>
            </w:r>
          </w:p>
        </w:tc>
        <w:tc>
          <w:tcPr>
            <w:tcW w:type="dxa" w:w="2400"/>
            <w:shd w:fill="D9D9D9" w:val="clear"/>
            <w:tcMar>
              <w:top w:type="dxa" w:w="80"/>
              <w:left w:type="dxa" w:w="120"/>
              <w:bottom w:type="dxa" w:w="80"/>
              <w:right w:type="dxa" w:w="120"/>
            </w:tcMar>
          </w:tcPr>
          <w:p>
            <w:pPr>
              <w:spacing w:line="276"/>
            </w:pPr>
            <w:r>
              <w:rPr>
                <w:rFonts w:ascii="Times New Roman" w:cs="Times New Roman" w:eastAsia="Times New Roman" w:hAnsi="Times New Roman"/>
                <w:b/>
                <w:bCs/>
                <w:sz w:val="22"/>
                <w:szCs w:val="22"/>
              </w:rPr>
              <w:t xml:space="preserve">Ameaça tratada</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Rede / infraestrutura</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helmet, rate limiting, CORS</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Abuso, sobrecarga, clickjacking</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Autenticação</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bcrypt, JWT (8h), reCAPTCHA, bloqueio de inativos</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Vazamento de senha, força bruta, automação</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Autorização</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autenticar, exigirEmpresa, exigirAdmin</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Escalação de privilégio</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Isolamento</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Filtro por empresa obtido do banco</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Acesso a dados de terceiros</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Aplicação</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Prepared statements, validação no servidor</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SQL Injection, dados inválidos</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Interface</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textContent e createElement</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Cross-Site Scripting (XSS)</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Banco de dados</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ENUM, chaves estrangeiras, transações, exclusão lógica</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Inconsistência e perda de histórico</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Auditoria</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Log de todas as ações relevantes</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Ausência de rastreabilidade</w:t>
            </w:r>
          </w:p>
        </w:tc>
      </w:tr>
      <w:tr>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Credenciais</w:t>
            </w:r>
          </w:p>
        </w:tc>
        <w:tc>
          <w:tcPr>
            <w:tcW w:type="dxa" w:w="42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Variáveis de ambiente fora do versionamento</w:t>
            </w:r>
          </w:p>
        </w:tc>
        <w:tc>
          <w:tcPr>
            <w:tcW w:type="dxa" w:w="2400"/>
            <w:tcMar>
              <w:top w:type="dxa" w:w="80"/>
              <w:left w:type="dxa" w:w="120"/>
              <w:bottom w:type="dxa" w:w="80"/>
              <w:right w:type="dxa" w:w="120"/>
            </w:tcMar>
          </w:tcPr>
          <w:p>
            <w:pPr>
              <w:spacing w:line="276"/>
            </w:pPr>
            <w:r>
              <w:rPr>
                <w:rFonts w:ascii="Times New Roman" w:cs="Times New Roman" w:eastAsia="Times New Roman" w:hAnsi="Times New Roman"/>
                <w:b w:val="false"/>
                <w:bCs w:val="false"/>
                <w:sz w:val="22"/>
                <w:szCs w:val="22"/>
              </w:rPr>
              <w:t xml:space="preserve">Exposição de segredos</w:t>
            </w:r>
          </w:p>
        </w:tc>
      </w:tr>
    </w:tbl>
    <w:p>
      <w:pPr>
        <w:spacing w:after="200" w:line="360"/>
        <w:jc w:val="both"/>
      </w:pPr>
      <w:r>
        <w:rPr>
          <w:rFonts w:ascii="Times New Roman" w:cs="Times New Roman" w:eastAsia="Times New Roman" w:hAnsi="Times New Roman"/>
          <w:sz w:val="24"/>
          <w:szCs w:val="24"/>
        </w:rPr>
        <w:t xml:space="preserve"/>
      </w:r>
    </w:p>
    <w:p>
      <w:pPr>
        <w:spacing w:after="120" w:line="360"/>
        <w:ind w:firstLine="708"/>
        <w:jc w:val="both"/>
      </w:pPr>
      <w:r>
        <w:rPr>
          <w:rFonts w:ascii="Times New Roman" w:cs="Times New Roman" w:eastAsia="Times New Roman" w:hAnsi="Times New Roman"/>
          <w:sz w:val="24"/>
          <w:szCs w:val="24"/>
        </w:rPr>
        <w:t xml:space="preserve">Considera-se que os dois pilares definidos no início do projeto foram atendidos: a segurança é aplicada em camadas independentes e cumulativas, de modo que a falha de uma não compromete integralmente o sistema; e a rastreabilidade é assegurada pelo registro sistemático de todas as ações relevantes, com identificação de responsável, data e hora.</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2026-07-18T17:50:37.186Z</dcterms:created>
  <dcterms:modified xsi:type="dcterms:W3CDTF">2026-07-18T17:50:37.198Z</dcterms:modified>
</cp:coreProperties>
</file>

<file path=docProps/custom.xml><?xml version="1.0" encoding="utf-8"?>
<Properties xmlns="http://schemas.openxmlformats.org/officeDocument/2006/custom-properties" xmlns:vt="http://schemas.openxmlformats.org/officeDocument/2006/docPropsVTypes"/>
</file>