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uno</w:t>
      </w:r>
    </w:p>
    <w:p>
      <w:r>
        <w:t>El pingüino Ñandú comió una ración de jamón ibérico en la montaña.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¿Qué café tomarás mañana? ¡Él está aquí con niños y señoras!</w:t>
      </w:r>
    </w:p>
    <w:p>
      <w:r>
        <w:drawing>
          <wp:inline xmlns:a="http://schemas.openxmlformats.org/drawingml/2006/main" xmlns:pic="http://schemas.openxmlformats.org/drawingml/2006/picture">
            <wp:extent cx="203200" cy="2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 imagen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