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uno</w:t>
      </w:r>
    </w:p>
    <w:p>
      <w:r>
        <w:t>Muchos años después, frente al pelotón de fusilamiento, el coronel Aureliano Buendía había de recordar aquella tarde remota.</w:t>
      </w:r>
    </w:p>
    <w:p>
      <w:r>
        <w:t xml:space="preserve">Macondo era entonces una aldea de veinte casas de barro y </w:t>
      </w:r>
      <w:r>
        <w:rPr>
          <w:b/>
        </w:rPr>
        <w:t>cañabrava</w:t>
      </w:r>
      <w:r>
        <w:t xml:space="preserve"> construidas a la orilla de un río.</w:t>
      </w:r>
    </w:p>
    <w:p>
      <w:pPr>
        <w:pStyle w:val="ListBullet"/>
      </w:pPr>
      <w:r>
        <w:t>Elemento de lista con ñandú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Celda A</w:t>
            </w:r>
          </w:p>
        </w:tc>
        <w:tc>
          <w:tcPr>
            <w:tcW w:type="dxa" w:w="4320"/>
          </w:tcPr>
          <w:p>
            <w:r>
              <w:t>Celda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Cien años de soledad — prueba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