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9CD" w:rsidRPr="00B6397B" w:rsidRDefault="00B6397B" w:rsidP="00B6397B">
      <w:pPr>
        <w:jc w:val="right"/>
        <w:rPr>
          <w:rFonts w:ascii="Times New Roman" w:hAnsi="Times New Roman" w:cs="Times New Roman"/>
          <w:sz w:val="28"/>
          <w:szCs w:val="28"/>
        </w:rPr>
      </w:pPr>
      <w:r w:rsidRPr="00B6397B">
        <w:rPr>
          <w:rFonts w:ascii="Times New Roman" w:hAnsi="Times New Roman" w:cs="Times New Roman"/>
          <w:sz w:val="28"/>
          <w:szCs w:val="28"/>
        </w:rPr>
        <w:t>Татьяна Черняева</w:t>
      </w:r>
    </w:p>
    <w:p w:rsidR="00B6397B" w:rsidRPr="00B6397B" w:rsidRDefault="00B6397B" w:rsidP="00B6397B">
      <w:pPr>
        <w:jc w:val="right"/>
        <w:rPr>
          <w:rFonts w:ascii="Times New Roman" w:hAnsi="Times New Roman" w:cs="Times New Roman"/>
          <w:sz w:val="28"/>
          <w:szCs w:val="28"/>
        </w:rPr>
      </w:pPr>
      <w:r w:rsidRPr="00B6397B">
        <w:rPr>
          <w:rFonts w:ascii="Times New Roman" w:hAnsi="Times New Roman" w:cs="Times New Roman"/>
          <w:sz w:val="28"/>
          <w:szCs w:val="28"/>
        </w:rPr>
        <w:t>Нинель Хан</w:t>
      </w:r>
    </w:p>
    <w:p w:rsidR="00B6397B" w:rsidRDefault="00B6397B" w:rsidP="00B6397B">
      <w:pPr>
        <w:jc w:val="right"/>
        <w:rPr>
          <w:rFonts w:ascii="Times New Roman" w:hAnsi="Times New Roman" w:cs="Times New Roman"/>
          <w:sz w:val="28"/>
          <w:szCs w:val="28"/>
        </w:rPr>
      </w:pPr>
      <w:r w:rsidRPr="00B6397B">
        <w:rPr>
          <w:rFonts w:ascii="Times New Roman" w:hAnsi="Times New Roman" w:cs="Times New Roman"/>
          <w:sz w:val="28"/>
          <w:szCs w:val="28"/>
        </w:rPr>
        <w:t>Владимир Жильцов</w:t>
      </w:r>
    </w:p>
    <w:p w:rsidR="00B6397B" w:rsidRDefault="00B6397B" w:rsidP="00B639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СОЦИАЛЬНОГО ПРОСТРАНСТВА РЕГИОНА или </w:t>
      </w:r>
    </w:p>
    <w:p w:rsidR="00B6397B" w:rsidRDefault="00B6397B" w:rsidP="00B639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СОЦИАЛЬНОГО ПРОСТРАНСТВА РЕГИОНА или </w:t>
      </w:r>
    </w:p>
    <w:p w:rsidR="00B6397B" w:rsidRDefault="00B6397B" w:rsidP="00B639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КОМПАРАТИВНЫЙ АНАЛИЗ РЕГИОНАЛЬНЫХ СОЦИАЛЬНЫХ  ПРОСТРАНСТВ (НА ПРИМЕРЕ ТУЛЬСКОЙ И КАЛУЖСКОЙ ОБЛАСТЕЙ)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21593284"/>
      <w:r>
        <w:rPr>
          <w:rFonts w:ascii="Times New Roman" w:eastAsia="Times New Roman" w:hAnsi="Times New Roman" w:cs="Times New Roman"/>
          <w:sz w:val="24"/>
          <w:szCs w:val="24"/>
        </w:rPr>
        <w:t>Актуальность темы определяется существенными изменениями пространственных моделей глобального мира, напряженными ситуациями, меняющими практики социальной дифференциации и мобильности</w:t>
      </w:r>
      <w:r w:rsidR="008B66C8">
        <w:rPr>
          <w:rFonts w:ascii="Times New Roman" w:eastAsia="Times New Roman" w:hAnsi="Times New Roman" w:cs="Times New Roman"/>
          <w:sz w:val="24"/>
          <w:szCs w:val="24"/>
        </w:rPr>
        <w:t xml:space="preserve"> и  в целом специфику региона. 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Академическая наука проявляет устойчивый интерес к закономерностям и механизмам социального пространства, способам его производства и воспроизводства, роли социальных институтов в обеспечении социально-пространственного порядка и трансляции пространственного знания в социальной структуре повседневности.</w:t>
      </w:r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  Практический интерес к пространству обозначил Э.Сойя: социальная реальность пространственная не только по сосуществованию, она онтологически и пресуппозиционно пространственная. Не существует никакой непространственной социальной реальности. Нет никаких непространственных социальных процессов. Даже в царстве чистой абстракции, идеологии и репрезентации имеется подчас скрытое пространственное измерение [1,2].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Однако традиция исследования пространства формирует своеобразную колею, ведущую к изучению его проявлений, но не к изначальным принципам конструирования. Соответственно актуальность темы исследования задается необходимостью определения общего плана построения социального пространства как системы социальных различий и идентификаций, сохраняющих некоторые константные и повторяющиеся фрактальные свойства.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Становление новых форматов социальной дифференциации и социального неравенства актуализировали задачи поиска пространственных инвариантов и динамических механизмов их удержания. В этой связи возрастает необходимость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аналитики социальных различий, институциально закрепленных процессов и пространственных структур. </w:t>
      </w:r>
    </w:p>
    <w:p w:rsidR="00B6397B" w:rsidRDefault="00B6397B" w:rsidP="00B6397B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Courier New"/>
          <w:sz w:val="24"/>
          <w:szCs w:val="24"/>
          <w:lang w:eastAsia="ru-RU"/>
        </w:rPr>
        <w:t xml:space="preserve">Мощная смена социальных контекстов порождает гибкие социальные конфигурации, специфические телесные практики и репрезентации. Появляются новые, а подчас и возрождаются отработанные практики дисциплинирования тела,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его пространственного закрепления (паттерны территориальности) и мобильности в пространстве социо-географических координат. Однако теория и практика освоения новых форматов реальности уже не соответствуют скорости перемен, что актуализирует задачи интерпретации моделей территориального развития (городские, сельские, пограничные территории, особые зоны) и механизмов социальной дифференциации и интеграции в поселениях разных типов, сдвигает фокус к становлению новых социальных практик и структурирования пространства региона, в том числе и виртуальной среде.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«Неравномерность развития и углубляющееся неравенство российских регионов требует системного изучения и принятия обоснованных управленческих решений, что  предполагает процессуальное единство трех основных составляющих: 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системное и детализированное видение объекта управления и динамики необходимых изменений; 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управленческую компетентность субъектов управления, в том числе личностно -профессиональную компетентность; 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 эффективные управленческие технологии, включая гибкие, мягкие, цифровые, нейросетевые» [1].  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Разнообразными международными и национальными организациями предпринимаются попытки представить универсальные интегральные показатели социально-экономического развития территории, на основе которых составляются рейтинги регионов. Однако в них за небольшим исключением не принимаются во внимание субъективные показатели. </w:t>
      </w:r>
    </w:p>
    <w:p w:rsidR="00B6397B" w:rsidRDefault="00B6397B" w:rsidP="00B6397B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Стратегические задачи управления регионом требуют проведения тщательной оценки сил и слабостей, возможностей и угроз. Вместе с тем оценивается регион/территория преимущественно по объективным показателям, что фрагментирует целостность, не учитывает субъектную составляющую (основных акторов, дискурсивные практики, локальную/региональную идентичность) и существенно снижает качество управленческих решений, выступая тормозом регионального развития. </w:t>
      </w:r>
    </w:p>
    <w:p w:rsidR="00B6397B" w:rsidRDefault="00B6397B" w:rsidP="00B6397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Предлагаемый проект позволяет построить интерактивную карту, репрезентировать и оценить интегральную политико-экономическую и социокультурную мощность территории, выраженную в фрактальной конфигурации объективных и субъективных параметров.</w:t>
      </w:r>
    </w:p>
    <w:p w:rsidR="00B6397B" w:rsidRDefault="00B6397B" w:rsidP="00B6397B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Courier New"/>
          <w:sz w:val="24"/>
          <w:szCs w:val="24"/>
          <w:lang w:eastAsia="ru-RU"/>
        </w:rPr>
      </w:pPr>
      <w:r w:rsidRPr="008B66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исследования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Courier New"/>
          <w:sz w:val="24"/>
          <w:szCs w:val="24"/>
          <w:lang w:eastAsia="ru-RU"/>
        </w:rPr>
        <w:t xml:space="preserve">состоит в определении специфики дизайна социального пространства в единстве объективных и субъективных показателей, что позволит проводить более точный компаративный анализ пространств разных масштабов, гибко реагировать на внешние и внутренние угрозы и обеспечивать устойчивое развитие территорий. </w:t>
      </w:r>
    </w:p>
    <w:p w:rsidR="008B66C8" w:rsidRP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Courier New"/>
          <w:b/>
          <w:sz w:val="24"/>
          <w:szCs w:val="24"/>
          <w:lang w:eastAsia="ru-RU"/>
        </w:rPr>
      </w:pPr>
      <w:r w:rsidRPr="008B66C8">
        <w:rPr>
          <w:rFonts w:ascii="Times New Roman" w:eastAsia="Times New Roman" w:hAnsi="Times New Roman" w:cs="Courier New"/>
          <w:b/>
          <w:sz w:val="24"/>
          <w:szCs w:val="24"/>
          <w:lang w:eastAsia="ru-RU"/>
        </w:rPr>
        <w:t xml:space="preserve">Задачи исследования: </w:t>
      </w:r>
    </w:p>
    <w:p w:rsid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1) выявить особенности топологии региональных социальных систем и объектов: принципы, уровни, системообразующие точки и динамические механизмы синхронизации; </w:t>
      </w:r>
    </w:p>
    <w:p w:rsid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2) определить специфику фрактальных свойств и территориального дизайна социального пространства;</w:t>
      </w:r>
    </w:p>
    <w:p w:rsid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3) представить трансдисциплинарную интерпретацию новых форм социальной дифференциации и социального неравенства;</w:t>
      </w:r>
    </w:p>
    <w:p w:rsid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4) раскрыть стратегии, механизмы и условия социального активизма и гражданской инициативы в системе преодоления неравенства российских регионов; </w:t>
      </w:r>
    </w:p>
    <w:p w:rsid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5) показать возможности применения фрактального подхода к анализу региональных  социальных  систем.</w:t>
      </w:r>
    </w:p>
    <w:p w:rsid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B66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Методы и методология исследования.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основу исследования положена смешанная методология (mixed methodology), наиболее эвристичная для моделирования сложных социальных процессов и систем. Методологические ориентиры сформированы в рамках участвующего исследования, обеспечивающего интеграцию теории и практики</w:t>
      </w:r>
      <w:r>
        <w:rPr>
          <w:rFonts w:ascii="Times New Roman" w:eastAsia="Times New Roman" w:hAnsi="Times New Roman" w:cs="Courier New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Аналогичная исследовательская перспектива была предложена в 90-е годы основателями саратовской школы организационно-управленческого проектирования – Т.П.Фокиной, Н.Н.Слоновым, Ю.А.Корсаковым - как принцип со-творчества разработчиков и методологов проекта [1]. На этапе сбора данных используются традиционные методы эконометрики, включая статистический анализ, качественные и количественные методы социальных наук: экспертный опрос, мониторинговые исследования, контент-анализ, критический дискурс-анализ визуальных репрезентаций территорий, участвующее наблюдение, ассоциативный метод, кейс-стади. </w:t>
      </w:r>
    </w:p>
    <w:p w:rsid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Пространство по Зиммелю - не причина социальных процессов, а форма их осуществления. Форма не действует, но деятельность души разделяет пространство на части, при этом направление взгляда и способ рассмотрения взаимодействия позволяют увидеть важность пространства, кроме того, пространство может быть заполнено, либо не заполнено [18]. Про силу взгляда, созерцания, рассмотрения, впоследствии будут написаны отдельные работы М.Фуко, Дж. Урри, З.Бауман.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«Логика Зиммеля привела Филиппова к пониманию, что пространство требует разные модусы восприятия: от чисто теоретического до социально действенного. Различие модусов наиболее отчетливо обнаруживается при исследовании границ. Граница между Я и Ты, смысловая и телесно очерченная, предполагает частичную недоступность другого, и в смысле приватности присуща каждому участнику взаимодействия. В этом смысле место служит центром кристаллизации социальных связей. Таким образом, Зиммель устанавливает принципиальную связь между пространством, временем, движением и социальным смыслом. Социальное пространство по Г.Зиммелю - форма совершения событий в мире» [2]. При этом Г. Зиммеля прежде всего интересуют динамические и статические, психологические, социальные, географические, политические характеристики пространства. Пространство не действует, но наделяется смыслами, которые приводят к действию: «Не географический охват в столько-то квадратных миль образует великое царство «Reich», это совершают те психологические силы, которые из некоторого срединного пункта политически удерживают вместе жителей такой &lt;географической&gt; области» [18]. «Можно утверждать, что для Г.Зиммеля в структуре пространства важны психологические характеристики, «душа». 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Автор проводит различие между  пространством физической географии и пространством социальным. В этом смысле пространство может быть: 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однозначно квалифицировано как пространство группы или общности; 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 рассматриваться как пространство взаимодействия или взаимовлияния;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3) как пространство не только размещения, но и перемещения;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4) как пространство сосуществования социальных групп [18]. 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Большое внимание в работах Г. Зиммеля отводится пространственному анализу социального взаимодействия, социальной дистанции, социальной, физической и психологической дифференциации. Автор обсуждает пять основных характеристик пространственных форм: 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исключительность или уникальность пространства; 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границы пространства;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фиксирование социальных форм в пространстве;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пространственная близость и дистанция;</w:t>
      </w:r>
    </w:p>
    <w:p w:rsidR="008B66C8" w:rsidRDefault="008B66C8" w:rsidP="008B66C8">
      <w:pPr>
        <w:numPr>
          <w:ilvl w:val="12"/>
          <w:numId w:val="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движение пространства» [2].</w:t>
      </w:r>
    </w:p>
    <w:p w:rsidR="00B11268" w:rsidRDefault="00B11268" w:rsidP="00B11268">
      <w:pPr>
        <w:pStyle w:val="2"/>
        <w:spacing w:before="0" w:after="0" w:line="360" w:lineRule="auto"/>
        <w:ind w:firstLine="709"/>
        <w:rPr>
          <w:rFonts w:ascii="Times New Roman" w:hAnsi="Times New Roman"/>
          <w:i w:val="0"/>
          <w:iCs w:val="0"/>
          <w:sz w:val="24"/>
          <w:szCs w:val="24"/>
        </w:rPr>
      </w:pPr>
      <w:bookmarkStart w:id="1" w:name="_Toc121521833"/>
      <w:r>
        <w:rPr>
          <w:rFonts w:ascii="Times New Roman" w:hAnsi="Times New Roman"/>
          <w:i w:val="0"/>
          <w:iCs w:val="0"/>
          <w:sz w:val="24"/>
          <w:szCs w:val="24"/>
        </w:rPr>
        <w:t>1.2 Эмпирические индикаторы специфики региона</w:t>
      </w:r>
      <w:bookmarkEnd w:id="1"/>
    </w:p>
    <w:p w:rsidR="00B11268" w:rsidRDefault="00B11268" w:rsidP="00B1126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Правительство Российской Федерации в 2011 году инициировало проект трансформации социальной сферы – президентскую программу подготовки управленческих кадров в сфере здравоохранения, образования и культуры. За 9 лет существования программы стало очевидно, что изменения в этих трех сферах не приводят к существенным преобразованиям социальной сферы в целом. В 2020 в РАНХиГС стартовала программа подготовки управленцев в социальной сфере «Современные технологии управления в социальной сфере» (PRO Социум), которая предполагает понимание социальной сферы как единого целого, совместную подготовку руководителей оперативного и стратегического уровня управления регионом, а также представителей некоммерческих организаций. 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Порядок масштабной модернизации институтов социальной сферы выявил серьезную потребность в командах, готовых реализовывать национальные проекты в установленные сроки, с заданным результатом – и обладающих для этого необходимыми компетенциями. Команды, участвующие в программе PRO Социум, проявили понимание значения и масштаба национальных целей, продемонстрировав свое видение того, как соотносятся их разработки со стратегическими приоритетами, национальными целями, национальными проектами и федеральными, региональными программами.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Теоретико-методологическая рамка программы задана идеями социально-пространственного подхода (Г.Зиммель, П.Бурдье, С.Барзилов, В.Ильин, Ю.Качанов, А.Филиппов, Т.Черняева), раскрываемого в терминах различий, конструирования, производства и воспроизводства (А.Лефевр, Л.Корбюзье), социальных капиталов, агентов и практик (П.Бурдье, В.Радаев, В.Волков).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«Программа PRO Социум: 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- нацелена на синхронизацию работы региональных проектных команд с позицией федеральных органов власти при реализации национальных проектов;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- реализует межотраслевой и межведомственный подходы в обучении слушателей проектированию и управлению проектами;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lastRenderedPageBreak/>
        <w:t>- практикует командный подход;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- обеспечивает каскадирование национальных целей с учетом региональной специфики, включая муниципальный уровень;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- обладает встроенной скрининговой исследовательской программой, позволяющей фиксировать входной уровень, промежуточные изменения и результаты проектирования региональных социальных систем» [1].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В фокус внимания программы PRO Социум помещен концепт качества жизни населения как интегрального показателя социального благополучия, объединяющего объективные возможности и ресурсы развития человеческого капитала и субъективные компоненты оценки удовлетворенности развитием социального пространства региона, возможностей самореализации и локальной идентичности. 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В фокус внимания программы помещен концепт качества жизни как интегрального показателя социального благополучия, объединяющего объективные возможности и ресурсы развития человеческого капитала и субъективные компоненты оценки удовлетворенности развитием социального пространства региона. В ходе решения задач проектирования социальной сферы региона, дискуссий, работы с экспертами предложена трехконтурная модель качества жизни региона (рис.1). 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1. Первый контур строится на основе объединения объективных индикаторов, традиционно используемых органами статистики, международными и национальными рейтинговыми агентствами. 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2. Второй контур интегрирует субъективные оценки развития социальной сферы и суждения, отражающие локальную идентичность и территориальную укорененность/лояльность. 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3. Третий контур содержит прогнозно-проектируемые оценки потенциала регионального развития. 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/>
        <w:jc w:val="center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52975" cy="3114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/>
        <w:jc w:val="center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Рисунок 1 – Трехконтурная модель качества жизни</w:t>
      </w:r>
      <w:r>
        <w:rPr>
          <w:rStyle w:val="a5"/>
          <w:rFonts w:ascii="Times New Roman" w:eastAsia="Times New Roman" w:hAnsi="Times New Roman" w:cs="Times New Roman"/>
          <w:sz w:val="24"/>
          <w:szCs w:val="24"/>
          <w:lang w:bidi="en-US"/>
        </w:rPr>
        <w:footnoteReference w:id="1"/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Методологами программы </w:t>
      </w:r>
      <w:r>
        <w:rPr>
          <w:rFonts w:ascii="Times New Roman" w:eastAsia="Times New Roman" w:hAnsi="Times New Roman" w:cs="Times New Roman"/>
          <w:sz w:val="24"/>
          <w:szCs w:val="24"/>
          <w:lang w:val="en-US" w:bidi="en-US"/>
        </w:rPr>
        <w:t>PRO</w:t>
      </w: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 Социум разработана также условная формула качества жизни человека (рис.2).</w:t>
      </w:r>
    </w:p>
    <w:p w:rsidR="00B11268" w:rsidRDefault="00B11268" w:rsidP="00B112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91075" cy="13811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6" t="41998" r="20470" b="34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8112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11268" w:rsidRDefault="00B11268" w:rsidP="00B1126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 – Формула качества жизни по В.Е.Волкову</w:t>
      </w:r>
    </w:p>
    <w:p w:rsidR="00B11268" w:rsidRDefault="00B11268" w:rsidP="00B11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11268" w:rsidRDefault="00B11268" w:rsidP="00B1126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Эмпирические индикаторы специфики регионов-участников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Социум также подтверждаются программами/проектами и их аналитической частью. </w:t>
      </w: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В ходе реализации программы PRO Социум было разработано 250 программ и проектов (по состоянию на 01.10.2022): 87 в 2020 году, 76 в 2021 году и 87 в 2022 году. В проектной деятельности участвовали представители 79 регионов РФ, более 4500 человек. Динамика вовлеченности регионов показана на рис.3.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038725" cy="30956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center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Рисунок 3 – Распределение регионов по участию в программе</w:t>
      </w:r>
      <w:r>
        <w:rPr>
          <w:rStyle w:val="a5"/>
          <w:rFonts w:ascii="Times New Roman" w:eastAsia="Times New Roman" w:hAnsi="Times New Roman" w:cs="Times New Roman"/>
          <w:sz w:val="24"/>
          <w:szCs w:val="24"/>
          <w:lang w:bidi="en-US"/>
        </w:rPr>
        <w:footnoteReference w:id="2"/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Команды PRO Социум, проявили понимание значения и масштаба национальных целей (71%), продемонстрировав свое видение того, как соотносятся их разработки со стратегическими приоритетами, федеральными и региональными программами развития (рис. 4).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Значительная часть проектов предполагает изменения в регионах в направлении сохранения населения, здоровья и благополучия людей; создания возможностей для самореализации и развития талантов; цифровой трансформации.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eastAsia="ru-RU"/>
        </w:rPr>
        <w:drawing>
          <wp:inline distT="0" distB="0" distL="0" distR="0">
            <wp:extent cx="4752975" cy="2733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center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Рисунок 4 – Ориентация проектов на национальные цели развития РФ</w:t>
      </w:r>
      <w:r>
        <w:rPr>
          <w:rStyle w:val="a5"/>
          <w:rFonts w:ascii="Times New Roman" w:eastAsia="Times New Roman" w:hAnsi="Times New Roman" w:cs="Times New Roman"/>
          <w:sz w:val="24"/>
          <w:szCs w:val="24"/>
          <w:lang w:bidi="en-US"/>
        </w:rPr>
        <w:footnoteReference w:id="3"/>
      </w: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 xml:space="preserve"> </w:t>
      </w: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</w:p>
    <w:p w:rsidR="00B11268" w:rsidRDefault="00B11268" w:rsidP="00B11268">
      <w:pPr>
        <w:widowControl w:val="0"/>
        <w:autoSpaceDE w:val="0"/>
        <w:autoSpaceDN w:val="0"/>
        <w:spacing w:after="0" w:line="360" w:lineRule="auto"/>
        <w:ind w:right="-28" w:firstLine="709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Экспертный анализ программ и проектов PRO Социум позволил идентифицировать особенности управленческого капитала и агентских практик в поле социальной политики территории, а также выделить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основные инструменты, направленные на совершенствование социального пространства регионов:</w:t>
      </w:r>
    </w:p>
    <w:p w:rsidR="00B11268" w:rsidRDefault="00B11268" w:rsidP="00B11268">
      <w:pPr>
        <w:widowControl w:val="0"/>
        <w:numPr>
          <w:ilvl w:val="0"/>
          <w:numId w:val="1"/>
        </w:numPr>
        <w:autoSpaceDE w:val="0"/>
        <w:autoSpaceDN w:val="0"/>
        <w:spacing w:after="0" w:line="360" w:lineRule="auto"/>
        <w:ind w:right="-28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административные структуры (центр, проектный офис, координационный совет и пр.);</w:t>
      </w:r>
    </w:p>
    <w:p w:rsidR="00B11268" w:rsidRDefault="00B11268" w:rsidP="00B11268">
      <w:pPr>
        <w:widowControl w:val="0"/>
        <w:numPr>
          <w:ilvl w:val="0"/>
          <w:numId w:val="1"/>
        </w:numPr>
        <w:autoSpaceDE w:val="0"/>
        <w:autoSpaceDN w:val="0"/>
        <w:spacing w:after="0" w:line="360" w:lineRule="auto"/>
        <w:ind w:right="-28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цифровые платформы, сервисы;</w:t>
      </w:r>
    </w:p>
    <w:p w:rsidR="00B11268" w:rsidRDefault="00B11268" w:rsidP="00B11268">
      <w:pPr>
        <w:widowControl w:val="0"/>
        <w:numPr>
          <w:ilvl w:val="0"/>
          <w:numId w:val="1"/>
        </w:numPr>
        <w:autoSpaceDE w:val="0"/>
        <w:autoSpaceDN w:val="0"/>
        <w:spacing w:after="0" w:line="360" w:lineRule="auto"/>
        <w:ind w:right="-28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коммуникационные площадки и создание сообществ;</w:t>
      </w:r>
    </w:p>
    <w:p w:rsidR="00B11268" w:rsidRDefault="00B11268" w:rsidP="00B11268">
      <w:pPr>
        <w:widowControl w:val="0"/>
        <w:numPr>
          <w:ilvl w:val="0"/>
          <w:numId w:val="1"/>
        </w:numPr>
        <w:autoSpaceDE w:val="0"/>
        <w:autoSpaceDN w:val="0"/>
        <w:spacing w:after="0" w:line="360" w:lineRule="auto"/>
        <w:ind w:right="-28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комплекс управленческих механизмов (практики межотраслевого и межведомственного взаимодействия, координации управленческих решений и пр.);</w:t>
      </w:r>
    </w:p>
    <w:p w:rsidR="00B11268" w:rsidRDefault="00B11268" w:rsidP="00B11268">
      <w:pPr>
        <w:widowControl w:val="0"/>
        <w:numPr>
          <w:ilvl w:val="0"/>
          <w:numId w:val="1"/>
        </w:numPr>
        <w:autoSpaceDE w:val="0"/>
        <w:autoSpaceDN w:val="0"/>
        <w:spacing w:after="0" w:line="360" w:lineRule="auto"/>
        <w:ind w:right="-28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программы подготовки специалистов, центры компетенций;</w:t>
      </w:r>
    </w:p>
    <w:p w:rsidR="00B11268" w:rsidRDefault="00B11268" w:rsidP="00B11268">
      <w:pPr>
        <w:widowControl w:val="0"/>
        <w:numPr>
          <w:ilvl w:val="0"/>
          <w:numId w:val="1"/>
        </w:numPr>
        <w:autoSpaceDE w:val="0"/>
        <w:autoSpaceDN w:val="0"/>
        <w:spacing w:after="0" w:line="360" w:lineRule="auto"/>
        <w:ind w:right="-28"/>
        <w:jc w:val="both"/>
        <w:rPr>
          <w:rFonts w:ascii="Times New Roman" w:eastAsia="Times New Roman" w:hAnsi="Times New Roman" w:cs="Times New Roman"/>
          <w:sz w:val="24"/>
          <w:szCs w:val="24"/>
          <w:lang w:bidi="en-US"/>
        </w:rPr>
      </w:pPr>
      <w:r>
        <w:rPr>
          <w:rFonts w:ascii="Times New Roman" w:eastAsia="Times New Roman" w:hAnsi="Times New Roman" w:cs="Times New Roman"/>
          <w:sz w:val="24"/>
          <w:szCs w:val="24"/>
          <w:lang w:bidi="en-US"/>
        </w:rPr>
        <w:t>нормативно-правовые акты различного уровня (идентификация нормативных разрывов, разработка новых и доработка существующих).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 xml:space="preserve">3. Социальное пространство имеет многоуровневую природу. 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 xml:space="preserve">Базовый уровень – природно-географический, существующий в системе трехмерных координат. 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 xml:space="preserve">Второй уровень - телесно-когнитивный, определяемый задачами соотнесения телесной организации и возможностей когнитивной системы с природными и рукотворными мирами. 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 xml:space="preserve">Третий уровень в большей степени зависит от культурно-исторических конвенций об опасности-безопасности, соматическом комфорте-неудобстве, расслаблении-напряжении, затратности-ресурсности. 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>Четвертый уровень содержит эмоционально-ценностные импликации пространства.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 xml:space="preserve">Пятый уровень – уровень социальной семиотики, воплощающий практики производства, сохранения, трансмиссии, переработки социальных знаков. 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 xml:space="preserve">Шестой уровень – уровень совместных действий, меняющих нормы, режимы, конвенции, порядки существования пространства. 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 xml:space="preserve">На каждом из этих уровней производятся специфические нормы как – результат установления границ объекта и его изменений, в том числе поведения, включая относительно устойчивые, усвоенные, принятые образцы </w:t>
      </w:r>
      <w:r w:rsidRPr="00B11268">
        <w:rPr>
          <w:rFonts w:ascii="Times New Roman" w:eastAsia="Times New Roman" w:hAnsi="Times New Roman" w:cs="Times New Roman"/>
          <w:sz w:val="24"/>
          <w:szCs w:val="24"/>
        </w:rPr>
        <w:lastRenderedPageBreak/>
        <w:t>поведения, эталоны  и /или установленные в обществе правила поведения, регулирующие отношения между людьми, социальными группами, общественными организациями.</w:t>
      </w:r>
    </w:p>
    <w:p w:rsidR="00B11268" w:rsidRPr="00B11268" w:rsidRDefault="00B11268" w:rsidP="00B11268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11268">
        <w:rPr>
          <w:rFonts w:ascii="Times New Roman" w:eastAsia="Times New Roman" w:hAnsi="Times New Roman" w:cs="Times New Roman"/>
          <w:sz w:val="24"/>
          <w:szCs w:val="24"/>
        </w:rPr>
        <w:t>4. Нормы и представляют собой системообразующие точки, принудительный характер действия которых уменьшается с движением агента от центра к периферии. В граничных зонах нормы подвергаются пересмотру, иногда – девальвации, что подрывает устойчивость социальной системы, включая социальное пространство региона. От распада пространство защищено динамическими механизмами синхронизации, имеющими фрактальную природу.</w:t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6CAA">
        <w:rPr>
          <w:rFonts w:ascii="Times New Roman" w:eastAsia="Times New Roman" w:hAnsi="Times New Roman" w:cs="Times New Roman"/>
          <w:sz w:val="24"/>
          <w:szCs w:val="24"/>
        </w:rPr>
        <w:t xml:space="preserve">Содержательно вопросы анкеты были разделены на несколько блоков. </w:t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6CAA">
        <w:rPr>
          <w:rFonts w:ascii="Times New Roman" w:eastAsia="Times New Roman" w:hAnsi="Times New Roman" w:cs="Times New Roman"/>
          <w:sz w:val="24"/>
          <w:szCs w:val="24"/>
        </w:rPr>
        <w:t>Первый и второй блоки посвящен особенностям социально-экономического пространства региона, аккумулирующим различные аспекты социального  благополучия и включающие субъективные оценки качества функционирования институтов и организаций в регионе.</w:t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rPr>
          <w:rFonts w:ascii="Times New Roman" w:hAnsi="Times New Roman"/>
          <w:sz w:val="24"/>
          <w:szCs w:val="24"/>
        </w:rPr>
        <w:sectPr w:rsidR="007F6CAA" w:rsidRPr="007F6CAA">
          <w:pgSz w:w="11906" w:h="16838"/>
          <w:pgMar w:top="1134" w:right="1418" w:bottom="1418" w:left="1701" w:header="708" w:footer="903" w:gutter="0"/>
          <w:cols w:space="720"/>
        </w:sectPr>
      </w:pP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677275" cy="3800475"/>
            <wp:effectExtent l="0" t="0" r="9525" b="9525"/>
            <wp:docPr id="6" name="Диаграмма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lc="http://schemas.openxmlformats.org/drawingml/2006/lockedCanvas" id="{46B41175-0D46-33C7-64A4-891A77CB08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6CAA">
        <w:rPr>
          <w:rFonts w:ascii="Times New Roman" w:eastAsia="Times New Roman" w:hAnsi="Times New Roman" w:cs="Times New Roman"/>
          <w:sz w:val="24"/>
          <w:szCs w:val="24"/>
        </w:rPr>
        <w:t xml:space="preserve">Рисунок 10 – Число анкет по регионам присутствия </w:t>
      </w:r>
      <w:r w:rsidRPr="007F6CAA">
        <w:rPr>
          <w:rFonts w:ascii="Times New Roman" w:eastAsia="Times New Roman" w:hAnsi="Times New Roman" w:cs="Times New Roman"/>
          <w:sz w:val="24"/>
          <w:szCs w:val="24"/>
          <w:lang w:val="en-US"/>
        </w:rPr>
        <w:t>PRO</w:t>
      </w:r>
      <w:r w:rsidRPr="007F6CAA">
        <w:rPr>
          <w:rFonts w:ascii="Times New Roman" w:eastAsia="Times New Roman" w:hAnsi="Times New Roman" w:cs="Times New Roman"/>
          <w:sz w:val="24"/>
          <w:szCs w:val="24"/>
        </w:rPr>
        <w:t xml:space="preserve"> Социум, 2021-2022 годы</w:t>
      </w:r>
      <w:r>
        <w:rPr>
          <w:rStyle w:val="a5"/>
          <w:rFonts w:ascii="Times New Roman" w:hAnsi="Times New Roman"/>
          <w:sz w:val="24"/>
          <w:szCs w:val="24"/>
        </w:rPr>
        <w:footnoteReference w:id="4"/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  <w:sectPr w:rsidR="007F6CAA" w:rsidRPr="007F6CAA">
          <w:type w:val="nextColumn"/>
          <w:pgSz w:w="16838" w:h="11906" w:orient="landscape"/>
          <w:pgMar w:top="1134" w:right="1418" w:bottom="1418" w:left="1701" w:header="709" w:footer="902" w:gutter="0"/>
          <w:cols w:space="720"/>
        </w:sectPr>
      </w:pP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6CAA">
        <w:rPr>
          <w:rFonts w:ascii="Times New Roman" w:eastAsia="Times New Roman" w:hAnsi="Times New Roman" w:cs="Times New Roman"/>
          <w:sz w:val="24"/>
          <w:szCs w:val="24"/>
        </w:rPr>
        <w:lastRenderedPageBreak/>
        <w:t>Третий блок направлен на оценку управления социальной сферой региона для оценки видения ключевых акторов, которые должны нести ответственность за положение дел в социальной сфере региона.</w:t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6CAA">
        <w:rPr>
          <w:rFonts w:ascii="Times New Roman" w:eastAsia="Times New Roman" w:hAnsi="Times New Roman" w:cs="Times New Roman"/>
          <w:sz w:val="24"/>
          <w:szCs w:val="24"/>
        </w:rPr>
        <w:t xml:space="preserve">Четвертый блок включил общие вопросы ассоциативного характера, необходимые для проведения критического дискурс-анализа, поскольку дискурс – это способ и описания, и конструирования реальности, способ размышления о чем-то, способ понимания того, что правильно и  неправильно – то есть в нем заложены отношения власти. </w:t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6CAA">
        <w:rPr>
          <w:rFonts w:ascii="Times New Roman" w:eastAsia="Times New Roman" w:hAnsi="Times New Roman" w:cs="Times New Roman"/>
          <w:sz w:val="24"/>
          <w:szCs w:val="24"/>
        </w:rPr>
        <w:t>Дизайн анкеты учитывает элементы креста реальности О.Розенштока-Хюсси, в частности, темпоральную линию «прошлое-будущее» и пространственную линию «внешнее-внутреннее». Элементы исходного набора: дошкольное образование (дошкольное-высшее), здравоохранение, культура (включая культурно-массовые мероприятия), физкультура и спорт, занятость, благоустройство территории, социальная защита, социальное обслуживание, поддержка семьи, поддержка молодежи, активное долголетие, производство и предпринимательство, уровень сервиса в коммерческом и государственном секторе, общественное питание, транспортная инфраструктура, обеспеченность жильем и доступность жилья, коммунальное хозяйство, связь, интернет, общественная безопасность, социальная адаптация мигрантов, внутренний туризм, досуг, сохранение и развитие местных традиций и промыслов, уход за памятными местами и кладбищами, отбор и профессиональное развитие государственных гражданских служащих, музеи, сохранение исторической памяти, волонтерство, соучаствующее проектирование развития региона, связи с другими регионами, межмуниципальное сотрудничество.</w:t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6CAA">
        <w:rPr>
          <w:rFonts w:ascii="Times New Roman" w:eastAsia="Times New Roman" w:hAnsi="Times New Roman" w:cs="Times New Roman"/>
          <w:sz w:val="24"/>
          <w:szCs w:val="24"/>
        </w:rPr>
        <w:t>Примеры вопросов анкеты приведены в табл.7.</w:t>
      </w:r>
    </w:p>
    <w:p w:rsidR="007F6CAA" w:rsidRPr="007F6CAA" w:rsidRDefault="007F6CAA" w:rsidP="007F6CA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6CAA">
        <w:rPr>
          <w:rFonts w:ascii="Times New Roman" w:eastAsia="Times New Roman" w:hAnsi="Times New Roman" w:cs="Times New Roman"/>
          <w:sz w:val="24"/>
          <w:szCs w:val="24"/>
        </w:rPr>
        <w:t xml:space="preserve">Таблица 7 – Примеры отдельных вопросов анкеты для респондентов, представляющих регионы присутствия программы </w:t>
      </w:r>
      <w:r w:rsidRPr="007F6CAA">
        <w:rPr>
          <w:rFonts w:ascii="Times New Roman" w:eastAsia="Times New Roman" w:hAnsi="Times New Roman" w:cs="Times New Roman"/>
          <w:sz w:val="24"/>
          <w:szCs w:val="24"/>
          <w:lang w:val="en-US"/>
        </w:rPr>
        <w:t>PRO</w:t>
      </w:r>
      <w:r w:rsidRPr="007F6CAA">
        <w:rPr>
          <w:rFonts w:ascii="Times New Roman" w:eastAsia="Times New Roman" w:hAnsi="Times New Roman" w:cs="Times New Roman"/>
          <w:sz w:val="24"/>
          <w:szCs w:val="24"/>
        </w:rPr>
        <w:t xml:space="preserve"> Социум</w:t>
      </w:r>
    </w:p>
    <w:tbl>
      <w:tblPr>
        <w:tblStyle w:val="5"/>
        <w:tblW w:w="9351" w:type="dxa"/>
        <w:tblInd w:w="0" w:type="dxa"/>
        <w:tblLook w:val="04A0" w:firstRow="1" w:lastRow="0" w:firstColumn="1" w:lastColumn="0" w:noHBand="0" w:noVBand="1"/>
      </w:tblPr>
      <w:tblGrid>
        <w:gridCol w:w="1980"/>
        <w:gridCol w:w="7371"/>
      </w:tblGrid>
      <w:tr w:rsidR="007F6CAA" w:rsidTr="007F6CAA">
        <w:trPr>
          <w:tblHeader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Блоки данных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Примеры отдельных вопросов анкеты</w:t>
            </w:r>
          </w:p>
        </w:tc>
      </w:tr>
      <w:tr w:rsidR="007F6CAA" w:rsidTr="007F6CA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Оценка социального пространства региона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1. Оцените качество предоставляемых в Вашем регионе услуг и сложившихся практик по следующим направлениям (Уровень сервиса в коммерческом и государственном секторе, Социальная адаптация мигрантов, Досуг, Сохранение и развитие местных традиций и промыслов, Культура, включая культурно-массовые мероприятия, Музеи, сохранение исторической памяти, Уход за памятными местами и кладбищами, Поддержка семьи, Поддержка молодежи, Волонтерство).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2. Состоите ли вы в общественных объединениях в общественных объединениях?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3. Насколько Вы удовлетворены своими отношениями на работе?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4. Насколько Вы удовлетворены отношениями  с близкими людьми?</w:t>
            </w:r>
          </w:p>
        </w:tc>
      </w:tr>
      <w:tr w:rsidR="007F6CAA" w:rsidTr="007F6CA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Оценка экономического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пространства региона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 xml:space="preserve">1. Оцените качество предоставляемых в Вашем регионе услуг и сложившихся практик по следующим направлениям (Промышленнное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производство, МСП, Торговля, Общественное питание, Транспортная инфраструктура, Обеспеченность жильем и доступность жилья, Коммунальное хозяйство, Связь и интернет, Общественная безопасность, Внутренний туризм, Соучаствующее проектирование развития населенного пункта и региона, Межмуниципальное сотрудничество в регионе).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2. Оцените экономическое благополучие вашего региона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3. Насколько успешно в вашем регионе развивается малый и средний бизнес?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4. Как по вашему мнению, изменилось качество жизни в вашем регионе в последние 3 года?</w:t>
            </w:r>
          </w:p>
        </w:tc>
      </w:tr>
      <w:tr w:rsidR="007F6CAA" w:rsidTr="007F6CA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lastRenderedPageBreak/>
              <w:t>Оценка управленческого контура социальной сферы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региона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1. Согласны ли вы с тем, что в Вашем регионе социальная сфера работает как единый слаженный механизм (отрасли социальной сферы работают на достижение единых целей, эффективно взаимодействуют, синхронизируют свои действия).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2. Кто, по вашему мнению, должен нести ответственность за положение дел в социальной сфере региона?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3. Кто, по вашему мнению, может оказать существенное влияние на положение дел в социальной сфере региона?</w:t>
            </w:r>
          </w:p>
        </w:tc>
      </w:tr>
      <w:tr w:rsidR="007F6CAA" w:rsidTr="007F6CAA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Общая ассоциативная оценка региона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1. Напишите три слова, ассоциирующихся с вашим регионом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2. Чем может гордиться ваш регион?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3. Что вам не нравится в вашем регионе?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4. Какие проблемы чаще всего обсуждают жители вашего региона в социальных сетях?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5. Рассматриваете ли вы возможность переезда в другой регион?</w:t>
            </w:r>
          </w:p>
          <w:p w:rsidR="007F6CAA" w:rsidRDefault="007F6CAA">
            <w:pPr>
              <w:tabs>
                <w:tab w:val="left" w:pos="630"/>
                <w:tab w:val="right" w:pos="9355"/>
              </w:tabs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6. Вы бы хотели, чтобы ваши дети и внуки жили в вашем регионе?</w:t>
            </w:r>
          </w:p>
        </w:tc>
      </w:tr>
    </w:tbl>
    <w:p w:rsidR="008B66C8" w:rsidRDefault="008B66C8" w:rsidP="008B66C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" w:name="_GoBack"/>
      <w:bookmarkEnd w:id="3"/>
    </w:p>
    <w:p w:rsidR="008B66C8" w:rsidRDefault="008B66C8" w:rsidP="00B6397B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Courier New"/>
          <w:sz w:val="24"/>
          <w:szCs w:val="24"/>
          <w:lang w:eastAsia="ru-RU"/>
        </w:rPr>
      </w:pPr>
    </w:p>
    <w:p w:rsidR="00B6397B" w:rsidRPr="00B6397B" w:rsidRDefault="00B6397B" w:rsidP="00B6397B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B6397B" w:rsidRPr="00B639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15C0" w:rsidRDefault="009E15C0" w:rsidP="00B11268">
      <w:pPr>
        <w:spacing w:after="0" w:line="240" w:lineRule="auto"/>
      </w:pPr>
      <w:r>
        <w:separator/>
      </w:r>
    </w:p>
  </w:endnote>
  <w:endnote w:type="continuationSeparator" w:id="0">
    <w:p w:rsidR="009E15C0" w:rsidRDefault="009E15C0" w:rsidP="00B11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15C0" w:rsidRDefault="009E15C0" w:rsidP="00B11268">
      <w:pPr>
        <w:spacing w:after="0" w:line="240" w:lineRule="auto"/>
      </w:pPr>
      <w:r>
        <w:separator/>
      </w:r>
    </w:p>
  </w:footnote>
  <w:footnote w:type="continuationSeparator" w:id="0">
    <w:p w:rsidR="009E15C0" w:rsidRDefault="009E15C0" w:rsidP="00B11268">
      <w:pPr>
        <w:spacing w:after="0" w:line="240" w:lineRule="auto"/>
      </w:pPr>
      <w:r>
        <w:continuationSeparator/>
      </w:r>
    </w:p>
  </w:footnote>
  <w:footnote w:id="1">
    <w:p w:rsidR="00B11268" w:rsidRDefault="00B11268" w:rsidP="00B11268">
      <w:pPr>
        <w:pStyle w:val="a3"/>
        <w:rPr>
          <w:rFonts w:ascii="Times New Roman" w:hAnsi="Times New Roman"/>
        </w:rPr>
      </w:pPr>
      <w:r>
        <w:rPr>
          <w:rStyle w:val="a5"/>
          <w:rFonts w:ascii="Times New Roman" w:hAnsi="Times New Roman"/>
        </w:rPr>
        <w:footnoteRef/>
      </w:r>
      <w:r>
        <w:rPr>
          <w:rFonts w:ascii="Times New Roman" w:hAnsi="Times New Roman"/>
        </w:rPr>
        <w:t xml:space="preserve"> Составлено авторами</w:t>
      </w:r>
    </w:p>
  </w:footnote>
  <w:footnote w:id="2">
    <w:p w:rsidR="00B11268" w:rsidRDefault="00B11268" w:rsidP="00B11268">
      <w:pPr>
        <w:pStyle w:val="a3"/>
        <w:spacing w:after="0" w:line="240" w:lineRule="auto"/>
        <w:rPr>
          <w:rFonts w:ascii="Times New Roman" w:hAnsi="Times New Roman"/>
        </w:rPr>
      </w:pPr>
      <w:r>
        <w:rPr>
          <w:rStyle w:val="a5"/>
          <w:rFonts w:ascii="Times New Roman" w:hAnsi="Times New Roman"/>
        </w:rPr>
        <w:footnoteRef/>
      </w:r>
      <w:r>
        <w:rPr>
          <w:rFonts w:ascii="Times New Roman" w:hAnsi="Times New Roman"/>
        </w:rPr>
        <w:t xml:space="preserve"> Составлено авторами</w:t>
      </w:r>
    </w:p>
  </w:footnote>
  <w:footnote w:id="3">
    <w:p w:rsidR="00B11268" w:rsidRDefault="00B11268" w:rsidP="00B11268">
      <w:pPr>
        <w:pStyle w:val="a3"/>
        <w:spacing w:after="0" w:line="240" w:lineRule="auto"/>
        <w:rPr>
          <w:rFonts w:ascii="Times New Roman" w:hAnsi="Times New Roman"/>
        </w:rPr>
      </w:pPr>
      <w:r>
        <w:rPr>
          <w:rStyle w:val="a5"/>
          <w:rFonts w:ascii="Times New Roman" w:hAnsi="Times New Roman"/>
        </w:rPr>
        <w:footnoteRef/>
      </w:r>
      <w:r>
        <w:rPr>
          <w:rFonts w:ascii="Times New Roman" w:hAnsi="Times New Roman"/>
        </w:rPr>
        <w:t xml:space="preserve"> Составлено авторами</w:t>
      </w:r>
    </w:p>
  </w:footnote>
  <w:footnote w:id="4">
    <w:p w:rsidR="007F6CAA" w:rsidRDefault="007F6CAA" w:rsidP="007F6CAA">
      <w:pPr>
        <w:pStyle w:val="a3"/>
        <w:rPr>
          <w:rFonts w:ascii="Times New Roman" w:hAnsi="Times New Roman"/>
        </w:rPr>
      </w:pPr>
      <w:r>
        <w:rPr>
          <w:rStyle w:val="a5"/>
          <w:rFonts w:ascii="Times New Roman" w:hAnsi="Times New Roman"/>
        </w:rPr>
        <w:footnoteRef/>
      </w:r>
      <w:r>
        <w:rPr>
          <w:rFonts w:ascii="Times New Roman" w:hAnsi="Times New Roman"/>
        </w:rPr>
        <w:t xml:space="preserve"> </w:t>
      </w:r>
      <w:bookmarkStart w:id="2" w:name="_Hlk121219087"/>
      <w:r>
        <w:rPr>
          <w:rFonts w:ascii="Times New Roman" w:hAnsi="Times New Roman"/>
        </w:rPr>
        <w:t>Составлено авторами</w:t>
      </w:r>
      <w:bookmarkEnd w:id="2"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463779"/>
    <w:multiLevelType w:val="hybridMultilevel"/>
    <w:tmpl w:val="F4E464B4"/>
    <w:lvl w:ilvl="0" w:tplc="0E287B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u w:val="none" w:color="000000"/>
        <w:effect w:val="none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97B"/>
    <w:rsid w:val="007F6CAA"/>
    <w:rsid w:val="008B66C8"/>
    <w:rsid w:val="009E15C0"/>
    <w:rsid w:val="00B11268"/>
    <w:rsid w:val="00B6397B"/>
    <w:rsid w:val="00FD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A06596-8089-42AD-8082-A02ADEA5B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semiHidden/>
    <w:unhideWhenUsed/>
    <w:qFormat/>
    <w:rsid w:val="00B11268"/>
    <w:pPr>
      <w:keepNext/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B11268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3">
    <w:name w:val="footnote text"/>
    <w:basedOn w:val="a"/>
    <w:link w:val="a4"/>
    <w:uiPriority w:val="99"/>
    <w:semiHidden/>
    <w:unhideWhenUsed/>
    <w:rsid w:val="00B11268"/>
    <w:pPr>
      <w:spacing w:after="200" w:line="276" w:lineRule="auto"/>
    </w:pPr>
    <w:rPr>
      <w:rFonts w:ascii="Calibri" w:eastAsia="Times New Roman" w:hAnsi="Calibri" w:cs="Times New Roman"/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B11268"/>
    <w:rPr>
      <w:rFonts w:ascii="Calibri" w:eastAsia="Times New Roman" w:hAnsi="Calibri" w:cs="Times New Roman"/>
      <w:sz w:val="20"/>
      <w:szCs w:val="20"/>
    </w:rPr>
  </w:style>
  <w:style w:type="character" w:styleId="a5">
    <w:name w:val="footnote reference"/>
    <w:uiPriority w:val="99"/>
    <w:semiHidden/>
    <w:unhideWhenUsed/>
    <w:rsid w:val="00B11268"/>
    <w:rPr>
      <w:vertAlign w:val="superscript"/>
    </w:rPr>
  </w:style>
  <w:style w:type="paragraph" w:styleId="a6">
    <w:name w:val="List Paragraph"/>
    <w:basedOn w:val="a"/>
    <w:uiPriority w:val="34"/>
    <w:qFormat/>
    <w:rsid w:val="00B11268"/>
    <w:pPr>
      <w:ind w:left="720"/>
      <w:contextualSpacing/>
    </w:pPr>
  </w:style>
  <w:style w:type="table" w:customStyle="1" w:styleId="5">
    <w:name w:val="Сетка таблицы5"/>
    <w:basedOn w:val="a1"/>
    <w:uiPriority w:val="39"/>
    <w:rsid w:val="007F6CA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 sz="1200"/>
              <a:t>Число анкет по регионам присутствия программы</a:t>
            </a:r>
            <a:r>
              <a:rPr lang="en-US" sz="1200"/>
              <a:t> PRO </a:t>
            </a:r>
            <a:r>
              <a:rPr lang="ru-RU" sz="1200"/>
              <a:t>Социум, ед.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2.3575758166367818E-2"/>
          <c:y val="0.11241394825646794"/>
          <c:w val="0.95662226163561237"/>
          <c:h val="0.4167748341802102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Лист4!$B$2:$BX$2</c:f>
              <c:strCache>
                <c:ptCount val="75"/>
                <c:pt idx="0">
                  <c:v>Республика Адыгея (Адыгея)</c:v>
                </c:pt>
                <c:pt idx="1">
                  <c:v>Республика Башкортостан</c:v>
                </c:pt>
                <c:pt idx="2">
                  <c:v>Республика Бурятия</c:v>
                </c:pt>
                <c:pt idx="3">
                  <c:v>Республика Алтай</c:v>
                </c:pt>
                <c:pt idx="4">
                  <c:v>Республика Дагестан</c:v>
                </c:pt>
                <c:pt idx="5">
                  <c:v>Республика Ингушетия</c:v>
                </c:pt>
                <c:pt idx="6">
                  <c:v>Кабардино-Балкарская Республика</c:v>
                </c:pt>
                <c:pt idx="7">
                  <c:v>Республика Калмыкия</c:v>
                </c:pt>
                <c:pt idx="8">
                  <c:v>Карачаево-Черкесская Республика</c:v>
                </c:pt>
                <c:pt idx="9">
                  <c:v>Республика Карелия</c:v>
                </c:pt>
                <c:pt idx="10">
                  <c:v>Республика Коми</c:v>
                </c:pt>
                <c:pt idx="11">
                  <c:v>Республика Марий Эл</c:v>
                </c:pt>
                <c:pt idx="12">
                  <c:v>Республика Мордовия</c:v>
                </c:pt>
                <c:pt idx="13">
                  <c:v>Республика Саха (Якутия)</c:v>
                </c:pt>
                <c:pt idx="14">
                  <c:v>Республика Северная Осетия - Алания</c:v>
                </c:pt>
                <c:pt idx="15">
                  <c:v>Республика Татарстан (Татарстан)</c:v>
                </c:pt>
                <c:pt idx="16">
                  <c:v>Республика Тыва</c:v>
                </c:pt>
                <c:pt idx="17">
                  <c:v>Удмуртская Республика</c:v>
                </c:pt>
                <c:pt idx="18">
                  <c:v>Чеченская Республика</c:v>
                </c:pt>
                <c:pt idx="19">
                  <c:v>Чувашская Республика - Чувашия</c:v>
                </c:pt>
                <c:pt idx="20">
                  <c:v>Алтайский край</c:v>
                </c:pt>
                <c:pt idx="21">
                  <c:v>Краснодарский край</c:v>
                </c:pt>
                <c:pt idx="22">
                  <c:v>Красноярский край</c:v>
                </c:pt>
                <c:pt idx="23">
                  <c:v>Приморский край</c:v>
                </c:pt>
                <c:pt idx="24">
                  <c:v>Ставропольский край</c:v>
                </c:pt>
                <c:pt idx="25">
                  <c:v>Хабаровский край</c:v>
                </c:pt>
                <c:pt idx="26">
                  <c:v>Амурская область</c:v>
                </c:pt>
                <c:pt idx="27">
                  <c:v>Архангельская область</c:v>
                </c:pt>
                <c:pt idx="28">
                  <c:v>Астраханская область</c:v>
                </c:pt>
                <c:pt idx="29">
                  <c:v>Белгородская область</c:v>
                </c:pt>
                <c:pt idx="30">
                  <c:v>Брянская область</c:v>
                </c:pt>
                <c:pt idx="31">
                  <c:v>Владимирская область</c:v>
                </c:pt>
                <c:pt idx="32">
                  <c:v>Волгоградская область</c:v>
                </c:pt>
                <c:pt idx="33">
                  <c:v>Вологодская область</c:v>
                </c:pt>
                <c:pt idx="34">
                  <c:v>Воронежская область</c:v>
                </c:pt>
                <c:pt idx="35">
                  <c:v>Ивановская область</c:v>
                </c:pt>
                <c:pt idx="36">
                  <c:v>Иркутская область</c:v>
                </c:pt>
                <c:pt idx="37">
                  <c:v>Калининградская область</c:v>
                </c:pt>
                <c:pt idx="38">
                  <c:v>Кемеровская область - Кузбасс</c:v>
                </c:pt>
                <c:pt idx="39">
                  <c:v>Кировская область</c:v>
                </c:pt>
                <c:pt idx="40">
                  <c:v>Костромская область</c:v>
                </c:pt>
                <c:pt idx="41">
                  <c:v>Курганская область</c:v>
                </c:pt>
                <c:pt idx="42">
                  <c:v>Курская область</c:v>
                </c:pt>
                <c:pt idx="43">
                  <c:v>Ленинградская область</c:v>
                </c:pt>
                <c:pt idx="44">
                  <c:v>Липецкая область</c:v>
                </c:pt>
                <c:pt idx="45">
                  <c:v>Магаданская область</c:v>
                </c:pt>
                <c:pt idx="46">
                  <c:v>Московская область</c:v>
                </c:pt>
                <c:pt idx="47">
                  <c:v>Мурманская область</c:v>
                </c:pt>
                <c:pt idx="48">
                  <c:v>Нижегородская область</c:v>
                </c:pt>
                <c:pt idx="49">
                  <c:v>Новгородская область</c:v>
                </c:pt>
                <c:pt idx="50">
                  <c:v>Новосибирская область</c:v>
                </c:pt>
                <c:pt idx="51">
                  <c:v>Омская область</c:v>
                </c:pt>
                <c:pt idx="52">
                  <c:v>Оренбургская область</c:v>
                </c:pt>
                <c:pt idx="53">
                  <c:v>Пензенская область</c:v>
                </c:pt>
                <c:pt idx="54">
                  <c:v>Псковская область</c:v>
                </c:pt>
                <c:pt idx="55">
                  <c:v>Ростовская область</c:v>
                </c:pt>
                <c:pt idx="56">
                  <c:v>Самарская область</c:v>
                </c:pt>
                <c:pt idx="57">
                  <c:v>Саратовская область</c:v>
                </c:pt>
                <c:pt idx="58">
                  <c:v>Сахалинская область</c:v>
                </c:pt>
                <c:pt idx="59">
                  <c:v>Свердловская область</c:v>
                </c:pt>
                <c:pt idx="60">
                  <c:v>Смоленская область</c:v>
                </c:pt>
                <c:pt idx="61">
                  <c:v>Тамбовская область</c:v>
                </c:pt>
                <c:pt idx="62">
                  <c:v>Тверская область</c:v>
                </c:pt>
                <c:pt idx="63">
                  <c:v>Томская область</c:v>
                </c:pt>
                <c:pt idx="64">
                  <c:v>Ульяновская область</c:v>
                </c:pt>
                <c:pt idx="65">
                  <c:v>Челябинская область</c:v>
                </c:pt>
                <c:pt idx="66">
                  <c:v>Забайкальский край</c:v>
                </c:pt>
                <c:pt idx="67">
                  <c:v>Москва</c:v>
                </c:pt>
                <c:pt idx="68">
                  <c:v>Санкт-Петербург</c:v>
                </c:pt>
                <c:pt idx="69">
                  <c:v>Еврейская автономная область</c:v>
                </c:pt>
                <c:pt idx="70">
                  <c:v>Ненецкий автономный округ</c:v>
                </c:pt>
                <c:pt idx="71">
                  <c:v>Ханты-Мансийский автономный округ - Югра</c:v>
                </c:pt>
                <c:pt idx="72">
                  <c:v>Ямало-Ненецкий автономный округ</c:v>
                </c:pt>
                <c:pt idx="73">
                  <c:v>Республика Крым</c:v>
                </c:pt>
                <c:pt idx="74">
                  <c:v> Севастополь</c:v>
                </c:pt>
              </c:strCache>
            </c:strRef>
          </c:cat>
          <c:val>
            <c:numRef>
              <c:f>Лист4!$B$3:$BX$3</c:f>
              <c:numCache>
                <c:formatCode>General</c:formatCode>
                <c:ptCount val="75"/>
                <c:pt idx="0">
                  <c:v>255</c:v>
                </c:pt>
                <c:pt idx="1">
                  <c:v>170</c:v>
                </c:pt>
                <c:pt idx="2">
                  <c:v>80</c:v>
                </c:pt>
                <c:pt idx="3">
                  <c:v>105</c:v>
                </c:pt>
                <c:pt idx="4">
                  <c:v>10</c:v>
                </c:pt>
                <c:pt idx="5">
                  <c:v>50</c:v>
                </c:pt>
                <c:pt idx="6">
                  <c:v>40</c:v>
                </c:pt>
                <c:pt idx="7">
                  <c:v>10</c:v>
                </c:pt>
                <c:pt idx="8">
                  <c:v>5</c:v>
                </c:pt>
                <c:pt idx="9">
                  <c:v>35</c:v>
                </c:pt>
                <c:pt idx="10">
                  <c:v>230</c:v>
                </c:pt>
                <c:pt idx="11">
                  <c:v>25</c:v>
                </c:pt>
                <c:pt idx="12">
                  <c:v>105</c:v>
                </c:pt>
                <c:pt idx="13">
                  <c:v>55</c:v>
                </c:pt>
                <c:pt idx="14">
                  <c:v>30</c:v>
                </c:pt>
                <c:pt idx="15">
                  <c:v>115</c:v>
                </c:pt>
                <c:pt idx="16">
                  <c:v>25</c:v>
                </c:pt>
                <c:pt idx="17">
                  <c:v>50</c:v>
                </c:pt>
                <c:pt idx="18">
                  <c:v>35</c:v>
                </c:pt>
                <c:pt idx="19">
                  <c:v>70</c:v>
                </c:pt>
                <c:pt idx="20">
                  <c:v>135</c:v>
                </c:pt>
                <c:pt idx="21">
                  <c:v>5</c:v>
                </c:pt>
                <c:pt idx="22">
                  <c:v>165</c:v>
                </c:pt>
                <c:pt idx="23">
                  <c:v>75</c:v>
                </c:pt>
                <c:pt idx="24">
                  <c:v>50</c:v>
                </c:pt>
                <c:pt idx="25">
                  <c:v>355</c:v>
                </c:pt>
                <c:pt idx="26">
                  <c:v>135</c:v>
                </c:pt>
                <c:pt idx="27">
                  <c:v>210</c:v>
                </c:pt>
                <c:pt idx="28">
                  <c:v>80</c:v>
                </c:pt>
                <c:pt idx="29">
                  <c:v>125</c:v>
                </c:pt>
                <c:pt idx="30">
                  <c:v>165</c:v>
                </c:pt>
                <c:pt idx="31">
                  <c:v>70</c:v>
                </c:pt>
                <c:pt idx="32">
                  <c:v>35</c:v>
                </c:pt>
                <c:pt idx="33">
                  <c:v>120</c:v>
                </c:pt>
                <c:pt idx="34">
                  <c:v>90</c:v>
                </c:pt>
                <c:pt idx="35">
                  <c:v>80</c:v>
                </c:pt>
                <c:pt idx="36">
                  <c:v>105</c:v>
                </c:pt>
                <c:pt idx="37">
                  <c:v>105</c:v>
                </c:pt>
                <c:pt idx="38">
                  <c:v>200</c:v>
                </c:pt>
                <c:pt idx="39">
                  <c:v>5</c:v>
                </c:pt>
                <c:pt idx="40">
                  <c:v>50</c:v>
                </c:pt>
                <c:pt idx="41">
                  <c:v>40</c:v>
                </c:pt>
                <c:pt idx="42">
                  <c:v>125</c:v>
                </c:pt>
                <c:pt idx="43">
                  <c:v>190</c:v>
                </c:pt>
                <c:pt idx="44">
                  <c:v>5</c:v>
                </c:pt>
                <c:pt idx="45">
                  <c:v>55</c:v>
                </c:pt>
                <c:pt idx="46">
                  <c:v>50</c:v>
                </c:pt>
                <c:pt idx="47">
                  <c:v>105</c:v>
                </c:pt>
                <c:pt idx="48">
                  <c:v>135</c:v>
                </c:pt>
                <c:pt idx="49">
                  <c:v>55</c:v>
                </c:pt>
                <c:pt idx="50">
                  <c:v>160</c:v>
                </c:pt>
                <c:pt idx="51">
                  <c:v>315</c:v>
                </c:pt>
                <c:pt idx="52">
                  <c:v>55</c:v>
                </c:pt>
                <c:pt idx="53">
                  <c:v>50</c:v>
                </c:pt>
                <c:pt idx="54">
                  <c:v>85</c:v>
                </c:pt>
                <c:pt idx="55">
                  <c:v>105</c:v>
                </c:pt>
                <c:pt idx="56">
                  <c:v>115</c:v>
                </c:pt>
                <c:pt idx="57">
                  <c:v>60</c:v>
                </c:pt>
                <c:pt idx="58">
                  <c:v>65</c:v>
                </c:pt>
                <c:pt idx="59">
                  <c:v>5</c:v>
                </c:pt>
                <c:pt idx="60">
                  <c:v>150</c:v>
                </c:pt>
                <c:pt idx="61">
                  <c:v>110</c:v>
                </c:pt>
                <c:pt idx="62">
                  <c:v>75</c:v>
                </c:pt>
                <c:pt idx="63">
                  <c:v>130</c:v>
                </c:pt>
                <c:pt idx="64">
                  <c:v>255</c:v>
                </c:pt>
                <c:pt idx="65">
                  <c:v>115</c:v>
                </c:pt>
                <c:pt idx="66">
                  <c:v>120</c:v>
                </c:pt>
                <c:pt idx="67">
                  <c:v>65</c:v>
                </c:pt>
                <c:pt idx="68">
                  <c:v>80</c:v>
                </c:pt>
                <c:pt idx="69">
                  <c:v>70</c:v>
                </c:pt>
                <c:pt idx="70">
                  <c:v>70</c:v>
                </c:pt>
                <c:pt idx="71">
                  <c:v>75</c:v>
                </c:pt>
                <c:pt idx="72">
                  <c:v>65</c:v>
                </c:pt>
                <c:pt idx="73">
                  <c:v>230</c:v>
                </c:pt>
                <c:pt idx="74">
                  <c:v>245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9AD9-4E39-ABF8-9F863D3009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86104800"/>
        <c:axId val="619924000"/>
      </c:lineChart>
      <c:catAx>
        <c:axId val="1086104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619924000"/>
        <c:crosses val="autoZero"/>
        <c:auto val="1"/>
        <c:lblAlgn val="ctr"/>
        <c:lblOffset val="100"/>
        <c:noMultiLvlLbl val="0"/>
      </c:catAx>
      <c:valAx>
        <c:axId val="61992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0861048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Sheets">
    <a:dk1>
      <a:srgbClr val="000000"/>
    </a:dk1>
    <a:lt1>
      <a:srgbClr val="FFFFFF"/>
    </a:lt1>
    <a:dk2>
      <a:srgbClr val="000000"/>
    </a:dk2>
    <a:lt2>
      <a:srgbClr val="FFFFFF"/>
    </a:lt2>
    <a:accent1>
      <a:srgbClr val="4285F4"/>
    </a:accent1>
    <a:accent2>
      <a:srgbClr val="EA4335"/>
    </a:accent2>
    <a:accent3>
      <a:srgbClr val="FBBC04"/>
    </a:accent3>
    <a:accent4>
      <a:srgbClr val="34A853"/>
    </a:accent4>
    <a:accent5>
      <a:srgbClr val="FF6D01"/>
    </a:accent5>
    <a:accent6>
      <a:srgbClr val="46BDC6"/>
    </a:accent6>
    <a:hlink>
      <a:srgbClr val="1155CC"/>
    </a:hlink>
    <a:folHlink>
      <a:srgbClr val="1155CC"/>
    </a:folHlink>
  </a:clrScheme>
  <a:fontScheme name="Sheets">
    <a:majorFont>
      <a:latin typeface="Arial"/>
      <a:ea typeface="Arial"/>
      <a:cs typeface="Arial"/>
    </a:majorFont>
    <a:minorFont>
      <a:latin typeface="Arial"/>
      <a:ea typeface="Arial"/>
      <a:cs typeface="Arial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3011</Words>
  <Characters>17167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2023-11-16T17:36:00Z</dcterms:created>
  <dcterms:modified xsi:type="dcterms:W3CDTF">2023-11-16T18:06:00Z</dcterms:modified>
</cp:coreProperties>
</file>