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基于国产操作系统的安全智能运维 Agent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b/>
          <w:i w:val="0"/>
          <w:color w:val="1A1A1A"/>
          <w:sz w:val="60"/>
        </w:rPr>
        <w:t>软件功能需求分析文档</w:t>
      </w:r>
    </w:p>
    <w:p>
      <w:pPr>
        <w:jc w:val="center"/>
        <w:pBdr>
          <w:bottom w:val="single" w:sz="12" w:space="0" w:color="2E74B5"/>
        </w:pBdr>
      </w:pPr>
    </w:p>
    <w:p>
      <w:pPr>
        <w:spacing w:before="16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26"/>
        </w:rPr>
        <w:t>自然语言驱动 · 后端安全边界 · 全链路可审计</w:t>
      </w:r>
    </w:p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文档名称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软件功能需求分析文档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版本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V3.0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目标平台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麒麟高级服务器操作系统 V11 · LoongArch（开发环境兼容 Windows）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赛题方向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A2 · 基于国产操作系统的安全智能运维 Agent</w:t>
            </w:r>
          </w:p>
        </w:tc>
      </w:tr>
      <w:t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righ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21"/>
              </w:rPr>
              <w:t>更新日期</w:t>
            </w:r>
          </w:p>
        </w:tc>
        <w:tc>
          <w:tcPr>
            <w:tcW w:type="dxa" w:w="589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1"/>
              </w:rPr>
              <w:t>2026-06-23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目  录</w:t>
      </w:r>
    </w:p>
    <w:p>
      <w:r>
        <w:fldChar w:fldCharType="begin"/>
        <w:instrText xml:space="preserve">TOC \o "1-3" \h \z \u</w:instrText>
        <w:fldChar w:fldCharType="separate"/>
        <w:r>
          <w:t>在 Word 中按 Ctrl+A 后 F9，或右键“更新域”可生成目录。</w:t>
        </w:r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引言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本章交代文档为谁而写、覆盖到哪里，以及阅读时需要的术语基础。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编写目的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本文档定义“基于国产操作系统的安全智能运维 Agent”的功能与非功能需求，是后续功能设计、编码实现、测试验收和竞赛评审的共同依据。它回答三个问题：系统要解决谁的什么问题、必须具备哪些能力、在什么边界与约束下交付。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与一般“自然语言运维助手”不同，本系统的核心命题不是“让大模型把命令跑起来”，而是“在引入大模型不确定性的同时，把真实系统操作牢牢约束在后端安全边界内”。因此本文档对安全、权限、审计等约束性需求的描述，与功能性需求同等重要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读者对象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9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读者</w:t>
            </w:r>
          </w:p>
        </w:tc>
        <w:tc>
          <w:tcPr>
            <w:tcW w:type="dxa" w:w="6803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关注重点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9"/>
              </w:rPr>
              <w:t>竞赛评审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建设目标、功能完整度、安全设计、可审计性、国产化适配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9"/>
              </w:rPr>
              <w:t>设计与开发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功能边界、接口契约、数据结构、约束与不变量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9"/>
              </w:rPr>
              <w:t>测试与验收</w:t>
            </w:r>
          </w:p>
        </w:tc>
        <w:tc>
          <w:tcPr>
            <w:tcW w:type="dxa" w:w="6803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验收标准、用例场景、安全与性能指标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9"/>
              </w:rPr>
              <w:t>部署与运维</w:t>
            </w:r>
          </w:p>
        </w:tc>
        <w:tc>
          <w:tcPr>
            <w:tcW w:type="dxa" w:w="6803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9"/>
              </w:rPr>
              <w:t>运行环境、角色权限、最小权限部署、依赖与假设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文档范围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文档覆盖系统的业务目标、用户角色、业务流程、功能需求（含 17 个工具）、非功能需求、对外接口、数据需求、设计约束与验收标准。系统实现细节与模块划分在《软件功能设计文档》中展开，部署与使用过程在《软件产品说明书》中展开，三者构成一套完整的交付材料。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术语与缩略语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204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术语</w:t>
            </w:r>
          </w:p>
        </w:tc>
        <w:tc>
          <w:tcPr>
            <w:tcW w:type="dxa" w:w="669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Agent / 智能体</w:t>
            </w:r>
          </w:p>
        </w:tc>
        <w:tc>
          <w:tcPr>
            <w:tcW w:type="dxa" w:w="669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接收自然语言意图、自主选择工具并完成闭环的运维代理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LLM</w:t>
            </w:r>
          </w:p>
        </w:tc>
        <w:tc>
          <w:tcPr>
            <w:tcW w:type="dxa" w:w="669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大语言模型，本系统中仅承担意图规划与结果总结，不直接触达系统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MCP</w:t>
            </w:r>
          </w:p>
        </w:tc>
        <w:tc>
          <w:tcPr>
            <w:tcW w:type="dxa" w:w="669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Model Context Protocol，模型上下文协议，用于以标准方式暴露工具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工具 / Tool</w:t>
            </w:r>
          </w:p>
        </w:tc>
        <w:tc>
          <w:tcPr>
            <w:tcW w:type="dxa" w:w="669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后端注册的最小能力单元，每个工具只能调用具名命令模板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命令模板</w:t>
            </w:r>
          </w:p>
        </w:tc>
        <w:tc>
          <w:tcPr>
            <w:tcW w:type="dxa" w:w="669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预先定义、参数受校验的白名单系统命令，禁止拼接用户输入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trace_id</w:t>
            </w:r>
          </w:p>
        </w:tc>
        <w:tc>
          <w:tcPr>
            <w:tcW w:type="dxa" w:w="669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一次请求的全链路追踪标识，串联规划、校验、执行、审计各阶段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二次确认</w:t>
            </w:r>
          </w:p>
        </w:tc>
        <w:tc>
          <w:tcPr>
            <w:tcW w:type="dxa" w:w="669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中风险操作必须由调用方显式 approved=true 才能真正执行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最小权限</w:t>
            </w:r>
          </w:p>
        </w:tc>
        <w:tc>
          <w:tcPr>
            <w:tcW w:type="dxa" w:w="669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服务以低权限用户运行，root 启动时将子进程降权到目标用户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只读 / 受控</w:t>
            </w:r>
          </w:p>
        </w:tc>
        <w:tc>
          <w:tcPr>
            <w:tcW w:type="dxa" w:w="669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只读工具仅观测系统；受控工具会改变系统状态，受更严格约束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麒麟 V11 / LoongArch</w:t>
            </w:r>
          </w:p>
        </w:tc>
        <w:tc>
          <w:tcPr>
            <w:tcW w:type="dxa" w:w="669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国产服务器操作系统与龙芯指令集架构，为目标部署平台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参考资料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中国软件杯 A2 赛题说明：基于国产操作系统的安全智能运维 Agent。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项目仓库内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README.md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ARCHITECTURE.md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docs/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下各阶段设计文档。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FastAPI、Pydantic、官方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mcp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SDK 文档；麒麟高级服务器 V11 运维手册。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信息系统安全等级保护与最小权限原则的通用工程实践。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2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项目背景与建设目标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先看清要解决的问题，再说明系统要达到的目标与据以展开的设计理念。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问题域分析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传统服务器排障高度依赖人工：运维人员登录主机、凭经验敲入一连串命令、再逐条肉眼判读输出。这套流程在国产化替代加速、机房规模扩大的背景下暴露出三类突出问题。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痛点</w:t>
            </w:r>
          </w:p>
        </w:tc>
        <w:tc>
          <w:tcPr>
            <w:tcW w:type="dxa" w:w="408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具体表现</w:t>
            </w:r>
          </w:p>
        </w:tc>
        <w:tc>
          <w:tcPr>
            <w:tcW w:type="dxa" w:w="294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带来的风险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效率低、门槛高</w:t>
            </w:r>
          </w:p>
        </w:tc>
        <w:tc>
          <w:tcPr>
            <w:tcW w:type="dxa" w:w="40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排障依赖少数熟手对命令与输出格式的记忆，新人难以快速上手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故障平均处置时间长，知识沉淀在个人而非系统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误操作代价大</w:t>
            </w:r>
          </w:p>
        </w:tc>
        <w:tc>
          <w:tcPr>
            <w:tcW w:type="dxa" w:w="40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高权限会话中一条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rm -rf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、一次错误的 </w:t>
            </w:r>
            <w:r>
              <w:rPr>
                <w:rFonts w:ascii="Consolas" w:hAnsi="Consolas" w:eastAsia="Consolas"/>
                <w:b w:val="0"/>
                <w:i w:val="0"/>
                <w:color w:val="244061"/>
                <w:sz w:val="17"/>
                <w:shd w:val="clear" w:color="auto" w:fill="EEF1F5"/>
              </w:rPr>
              <w:t>systemctl stop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 xml:space="preserve"> 即可放大为事故</w:t>
            </w:r>
          </w:p>
        </w:tc>
        <w:tc>
          <w:tcPr>
            <w:tcW w:type="dxa" w:w="294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缺乏统一的危险动作拦截，事故难以在执行前被阻断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过程难追溯</w:t>
            </w:r>
          </w:p>
        </w:tc>
        <w:tc>
          <w:tcPr>
            <w:tcW w:type="dxa" w:w="40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“谁、在何时、对哪台机器、做了什么、结果如何”往往只散落在 shell 历史里</w:t>
            </w:r>
          </w:p>
        </w:tc>
        <w:tc>
          <w:tcPr>
            <w:tcW w:type="dxa" w:w="294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事后无法完整还原，难以满足审计与合规要求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把大模型直接接到服务器终端上，看似能降低门槛，却会把上面第二、第三类风险进一步放大——模型可能臆造命令、被日志里的内容诱导、或在无人确认的情况下执行破坏性动作。需求的出发点，正是在享受自然语言交互便利的同时，不把系统安全交给模型去“自觉”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建设目标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系统要成为一名“懂规矩的运维助手”：听得懂中文运维诉求，自动完成只读诊断，对任何会改变系统状态的动作都先校验、再确认、留痕迹。具体目标如下。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自然语言入口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：运维人员用中文描述系统、进程、端口、日志、服务、磁盘、安全态势等诉求，无需记忆具体命令。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规划与执行分离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：大模型（或本地规则）只产出结构化规划，真实操作只能由后端注册工具经命令模板执行，二者之间隔着完整的安全校验。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只读自动、操作留闸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：诊断类请求可在多步推理中自动连续观测；服务重启、进程终止、目录清理等受控操作必须经角色授权与二次确认。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全程可审计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：每次请求生成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trace_id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，规划、校验、执行、结论逐阶段落库，并以哈希链防篡改，可查询、可导出、可校验。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面向国产化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：以麒麟高级服务器 V11 / LoongArch 为目标平台，支持最小权限的 systemd服务化部署。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设计理念：把不确定性关进安全边界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贯穿全部需求的一条主线是“后端权威、模型参考”。大模型擅长理解意图、归纳证据，但它的输出本质上不可信：可能出错，也可能被它读到的数据反向操纵。因此系统在三个层面划定边界。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能力边界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：模型不能执行任意命令，只能在已注册工具与具名命令模板的范围内被“调度”，命令永不由用户输入拼接而成。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风险边界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：工具的风险等级、角色策略、危险命令与路径模式以后端规则为准；模型给出的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risk_hint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仅作参考，不能替后端放行。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信任边界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：工具返回的观测数据在喂给模型前会被隔离封装为不可信内容，模型被明确告知其中的文字不得当作新指令。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EAF6EE"/>
            <w:tcMar>
              <w:top w:w="70" w:type="dxa"/>
              <w:bottom w:w="70" w:type="dxa"/>
              <w:start w:w="150" w:type="dxa"/>
              <w:end w:w="130" w:type="dxa"/>
              <w:left w:w="150" w:type="dxa"/>
              <w:right w:w="130" w:type="dxa"/>
            </w:tcMar>
            <w:tcBorders>
              <w:left w:val="single" w:sz="20" w:space="0" w:color="2F7D4F"/>
              <w:top w:val="single" w:sz="2" w:space="0" w:color="EAF6EE"/>
              <w:bottom w:val="single" w:sz="2" w:space="0" w:color="EAF6EE"/>
              <w:right w:val="single" w:sz="2" w:space="0" w:color="EAF6EE"/>
            </w:tcBorders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2F7D4F"/>
                <w:sz w:val="19"/>
              </w:rPr>
              <w:t>▌ 核心理念</w:t>
            </w:r>
          </w:p>
          <w:p>
            <w:pPr>
              <w:spacing w:line="324" w:lineRule="auto" w:after="0"/>
            </w:pPr>
            <w:r>
              <w:rPr>
                <w:rFonts w:ascii="Times New Roman" w:hAnsi="Times New Roman" w:eastAsia="宋体"/>
                <w:b w:val="0"/>
                <w:i w:val="0"/>
                <w:color w:val="333333"/>
                <w:sz w:val="19"/>
              </w:rPr>
              <w:t>这条主线决定了本系统的大量“约束性需求”——它们不是锦上添花，而是系统成立的前提。后文的功能需求与非功能需求都围绕“在安全边界内提供能力”展开。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系统上下文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从外部视角看，系统位于“运维人员/程序客户端”与“被运维主机/大模型/审计存储”之间，对前者提供自然语言入口，对后者以受控方式访问资源。其边界与依赖如图 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90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0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1　系统上下文：调用方、系统边界与外部依赖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图中三类人工角色与 MCP 程序客户端均通过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Authorization: Bearer &lt;token&gt;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表明身份；系统对被运维主机只经白名单命令模板访问，对大模型的调用是可选的（未配置时回退本地规则），对审计存储则只追加、不修改。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2.5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范围界定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436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在本期范围内</w:t>
            </w:r>
          </w:p>
        </w:tc>
        <w:tc>
          <w:tcPr>
            <w:tcW w:type="dxa" w:w="436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不在本期范围内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中文自然语言运维对话与结构化结论</w:t>
            </w:r>
          </w:p>
        </w:tc>
        <w:tc>
          <w:tcPr>
            <w:tcW w:type="dxa" w:w="436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多语言界面与语音交互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17 个只读/受控工具及其安全校验</w:t>
            </w:r>
          </w:p>
        </w:tc>
        <w:tc>
          <w:tcPr>
            <w:tcW w:type="dxa" w:w="436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任意 shell 命令的自由执行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单机/同机房主机的诊断与受控处置</w:t>
            </w:r>
          </w:p>
        </w:tc>
        <w:tc>
          <w:tcPr>
            <w:tcW w:type="dxa" w:w="436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跨数据中心编排与集群调度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SQLite 审计与哈希链防篡改</w:t>
            </w:r>
          </w:p>
        </w:tc>
        <w:tc>
          <w:tcPr>
            <w:tcW w:type="dxa" w:w="436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外部 SIEM/数据库的深度对接（预留扩展）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最小权限 systemd 部署</w:t>
            </w:r>
          </w:p>
        </w:tc>
        <w:tc>
          <w:tcPr>
            <w:tcW w:type="dxa" w:w="436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容器编排与高可用集群部署（预留扩展）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3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用户角色与权限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角色是权限的载体；本章定义角色模型、权限矩阵与不可绕过的鉴权要求。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角色模型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系统采用三类人工角色加一类程序身份。角色不是界面上的下拉选项，而是与服务端令牌绑定的可信属性：前端在“访问令牌”输入框填入令牌，请求即以 Bearer 方式携带；后端据此解析角色，请求体内任何自称的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user_role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/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user_id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一律忽略。这样设计是为了杜绝“客户端自我提权”。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55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令牌环境变量</w:t>
            </w:r>
          </w:p>
        </w:tc>
        <w:tc>
          <w:tcPr>
            <w:tcW w:type="dxa" w:w="351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能力范围</w:t>
            </w:r>
          </w:p>
        </w:tc>
        <w:tc>
          <w:tcPr>
            <w:tcW w:type="dxa" w:w="13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典型用户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viewer</w:t>
            </w:r>
          </w:p>
        </w:tc>
        <w:tc>
          <w:tcPr>
            <w:tcW w:type="dxa" w:w="255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AGENT_VIEWER_TOKEN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仅低风险只读工具；安全态势工具按角色脱敏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评审演示、只读观察者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operator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AGENT_OPERATOR_TOKEN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低风险工具 + 二次确认后的中风险受控操作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一线运维人员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admin</w:t>
            </w:r>
          </w:p>
        </w:tc>
        <w:tc>
          <w:tcPr>
            <w:tcW w:type="dxa" w:w="255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AGENT_ADMIN_TOKEN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低风险工具 + 已确认的中风险操作；高风险默认阻断</w:t>
            </w:r>
          </w:p>
        </w:tc>
        <w:tc>
          <w:tcPr>
            <w:tcW w:type="dxa" w:w="13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系统管理员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MCP 客户端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AGENT_MCP_CLIENT_ROLE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程序化接入 /mcp，默认 viewer，可按需提升</w:t>
            </w:r>
          </w:p>
        </w:tc>
        <w:tc>
          <w:tcPr>
            <w:tcW w:type="dxa" w:w="13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外部 Agent/编排程序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角色—权限矩阵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权限的实质是“某角色能否触发某风险等级的操作”。矩阵由后端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RISK_POLICIES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决定，与具体工具解耦：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249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viewer</w:t>
            </w:r>
          </w:p>
        </w:tc>
        <w:tc>
          <w:tcPr>
            <w:tcW w:type="dxa" w:w="124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operator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admin</w:t>
            </w:r>
          </w:p>
        </w:tc>
        <w:tc>
          <w:tcPr>
            <w:tcW w:type="dxa" w:w="260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是否需二次确认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low 低风险（只读）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24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medium 中风险（受控操作）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✗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✓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是（approved=true）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high 高风险（预留）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✗</w:t>
            </w:r>
          </w:p>
        </w:tc>
        <w:tc>
          <w:tcPr>
            <w:tcW w:type="dxa" w:w="124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✗</w:t>
            </w:r>
          </w:p>
        </w:tc>
        <w:tc>
          <w:tcPr>
            <w:tcW w:type="dxa" w:w="113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默认阻断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是，且默认阻断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prohibited 禁止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✗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✗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✗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无条件阻断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说明：本期对外暴露的 17 个工具只覆盖 low 与 medium 两级；high 与 prohibited 作为策略阶梯预先定义，用于拦截“关闭防火墙、改写口令文件、删除系统目录”等动作，即便将来扩展也有据可依。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3.3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身份与鉴权要求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REQ-R1 令牌绑定角色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：HTTP 入口必须从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Authorization: Bearer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解析角色，令牌与角色的映射由服务端环境变量配置，缺省为 viewer。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REQ-R2 拒绝自我提权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：请求体内的角色/用户字段不得参与权限判断。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REQ-R3 会话归属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：多轮会话的上下文必须按调用方主体绑定，会话 ID 由服务端签发，调用方不能自选或冒用他人会话（详见 8.2）。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REQ-R4 通道一致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：MCP 程序通道与 HTTP 通道共用同一套角色与安全策略，不存在“后门”。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4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业务流程需求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把“一次请求如何被安全地处理”讲清楚，是后续功能需求的骨架。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请求处理生命周期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一次自然语言运维请求，从进入系统到产出结论，须经过六个固定阶段，顺序不可颠倒，其中“安全校验”是任何工具执行之前都必须穿过的闸门。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64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6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2　业务请求处理流程：端到端六阶段与只读推理闭环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408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type="dxa" w:w="317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关键要求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① 接收请求</w:t>
            </w:r>
          </w:p>
        </w:tc>
        <w:tc>
          <w:tcPr>
            <w:tcW w:type="dxa" w:w="40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解析 Bearer 令牌得到可信角色，生成 trace_id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忽略请求体伪造身份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② 意图规划</w:t>
            </w:r>
          </w:p>
        </w:tc>
        <w:tc>
          <w:tcPr>
            <w:tcW w:type="dxa" w:w="40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调用 LLM 或本地规则产出固定 JSON 规划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LLM 不可用须自动降级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③ 安全校验</w:t>
            </w:r>
          </w:p>
        </w:tc>
        <w:tc>
          <w:tcPr>
            <w:tcW w:type="dxa" w:w="40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白名单/参数/路径/命令/角色/确认逐项校验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执行前置，不可绕过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④ 工具执行</w:t>
            </w:r>
          </w:p>
        </w:tc>
        <w:tc>
          <w:tcPr>
            <w:tcW w:type="dxa" w:w="40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经命令模板调用系统命令并最小权限执行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禁止拼接 shell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⑤ 结果总结</w:t>
            </w:r>
          </w:p>
        </w:tc>
        <w:tc>
          <w:tcPr>
            <w:tcW w:type="dxa" w:w="408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将隔离后的观测数据归纳为结构化结论</w:t>
            </w:r>
          </w:p>
        </w:tc>
        <w:tc>
          <w:tcPr>
            <w:tcW w:type="dxa" w:w="317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观测数据不可信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⑥ 审计落库</w:t>
            </w:r>
          </w:p>
        </w:tc>
        <w:tc>
          <w:tcPr>
            <w:tcW w:type="dxa" w:w="408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逐阶段写入 SQLite 并链接哈希链</w:t>
            </w:r>
          </w:p>
        </w:tc>
        <w:tc>
          <w:tcPr>
            <w:tcW w:type="dxa" w:w="317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全链路可回溯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多步只读推理闭环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诊断往往不是一步到位的：先看服务状态，发现异常后再去翻日志。系统为此提供“多步只读推理闭环”——当首轮规划全是只读工具且调用方未预先确认时，编排器会在最多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AGENT_MAX_REASONING_STEPS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（默认 3，可配 1–10）步内自动连续观测。每一步都重新评估下一步规划：只要下一步建议里出现任何操作类工具，编排器立即停手，把它收进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suggested_actions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等待二次确认，而不会自动执行。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REQ-F-LOOP1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：闭环仅自动执行只读工具（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LOW_RISK_TOOLS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内的 14 个工具）。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REQ-F-LOOP2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：闭环遇操作类工具必须停手并产出建议，不得自动放行。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REQ-F-LOOP3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：每一步的观测摘要、是否疑似注入等都要进入审计。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4.3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授权决策模型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是否放行一次工具调用，由“风险等级 × 角色 × 二次确认”三者共同决定，且风险等级以后端为准。决策逻辑如图 3。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99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auth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9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3　授权决策模型：风险等级、角色与二次确认的组合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这套模型保证了一个朴素但关键的性质：viewer 永远碰不到会改变系统的动作；operator/admin 即便有权限，也要为每一次中风险操作显式按下“确认”，把“顺手敲错”挡在门外。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5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功能需求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按能力域逐组列出功能需求；每个需求带编号与优先级，便于设计与验收逐条对照。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功能需求全景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系统功能可归纳为六大能力域，覆盖从“听懂诉求”到“安全落地并留痕”的完整链路，如图 4。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90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cap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0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8"/>
        </w:rPr>
        <w:t>图 4　功能需求全景：六大能力域与 17 个工具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下文按“智能对话与规划 → 系统感知 → 安全态势 → 受控操作 → 安全校验 → 审计与可观测 →接口集成 → 部署运行”的顺序，逐组给出功能需求（编号 FR-xx，优先级分高/中）。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智能对话与规划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6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498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FR-01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自然语言对话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支持中文提交运维诉求，返回意图、风险等级、调用工具、执行结果与结构化结论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FR-02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双模规划与降级</w:t>
            </w:r>
          </w:p>
        </w:tc>
        <w:tc>
          <w:tcPr>
            <w:tcW w:type="dxa" w:w="498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优先用 DeepSeek/Qwen 生成固定 JSON 规划；LLM 不可用、超时或非 JSON 时自动回退本地关键词规则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FR-03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多步只读闭环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诊断类请求在 ≤AGENT_MAX_REASONING_STEPS 步内自动连续观测，遇操作类工具停手产出建议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FR-04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多轮会话上下文</w:t>
            </w:r>
          </w:p>
        </w:tc>
        <w:tc>
          <w:tcPr>
            <w:tcW w:type="dxa" w:w="498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按调用方主体记忆上一轮关键实体并注入下一轮规划，会话 ID 由服务端签发</w:t>
            </w:r>
          </w:p>
        </w:tc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FR-05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多步工具编排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规划可含 steps，后一步以 ${stepId.path} 引用前一步输出，逐步校验、失败即中断</w:t>
            </w:r>
          </w:p>
        </w:tc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规划与总结都走固定 JSON 合约（见 7.3），因此即便更换模型供应商，调用方拿到的结构也保持稳定；本地规则兜底则保证“断网/无密钥”时系统依然可用，这是面向国产化离线机房的硬性要求。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系统感知工具（只读）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感知类工具是系统的“眼睛”，共 11 个，全部只读、低风险，覆盖主机、进程、网络、日志、服务与磁盘。其中三个磁盘/软件源扫描工具会按目标路径动态评级（见 FR-25）。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374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关键参数</w:t>
            </w:r>
          </w:p>
        </w:tc>
        <w:tc>
          <w:tcPr>
            <w:tcW w:type="dxa" w:w="73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FR-06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system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采集主机、内核、运行时间、CPU、内存、磁盘概览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FR-07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process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采集进程列表并分析 CPU/内存占用较高的进程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limit, pid, include_tree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FR-08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network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采集监听端口、连接状态与可选 lsof 上下文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limit, include_lsof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FR-09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network.config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只读查看 IP 地址、路由、默认网关与 DNS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include_addr/route/dns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FR-10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network.diagnostics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对内置白名单目标做 DNS 解析与 ping，不做端口扫描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target(白名单), count, ping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FR-11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log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读取 journalctl 或指定日志文件并统计异常线索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source, lines, unit, priority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FR-12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service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查询 systemd 服务列表或单服务状态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service_name, limit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FR-13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disk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查询指定路径所在文件系统容量与使用率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path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FR-14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disk.large_files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扫描目录列出占用最大的文件，定位空间来源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path, min_size_mb, max_depth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FR-15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disk.top_dirs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统计子目录占用，定位空间主要来源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path, max_depth, include_files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FR-16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package.repo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检查 yum/dnf 软件源配置、启用仓库与可用性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repo_dir, check_repolist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中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BECEC"/>
            <w:tcMar>
              <w:top w:w="70" w:type="dxa"/>
              <w:bottom w:w="70" w:type="dxa"/>
              <w:start w:w="150" w:type="dxa"/>
              <w:end w:w="130" w:type="dxa"/>
              <w:left w:w="150" w:type="dxa"/>
              <w:right w:w="130" w:type="dxa"/>
            </w:tcMar>
            <w:tcBorders>
              <w:left w:val="single" w:sz="20" w:space="0" w:color="9C2B2B"/>
              <w:top w:val="single" w:sz="2" w:space="0" w:color="FBECEC"/>
              <w:bottom w:val="single" w:sz="2" w:space="0" w:color="FBECEC"/>
              <w:right w:val="single" w:sz="2" w:space="0" w:color="FBECEC"/>
            </w:tcBorders>
          </w:tcPr>
          <w:p>
            <w:pPr>
              <w:spacing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9C2B2B"/>
                <w:sz w:val="19"/>
              </w:rPr>
              <w:t>▌ 安全约束</w:t>
            </w:r>
          </w:p>
          <w:p>
            <w:pPr>
              <w:spacing w:line="324" w:lineRule="auto" w:after="0"/>
            </w:pPr>
            <w:r>
              <w:rPr>
                <w:rFonts w:ascii="Consolas" w:hAnsi="Consolas" w:eastAsia="Consolas"/>
                <w:b w:val="0"/>
                <w:i w:val="0"/>
                <w:color w:val="244061"/>
                <w:sz w:val="18"/>
                <w:shd w:val="clear" w:color="auto" w:fill="EEF1F5"/>
              </w:rPr>
              <w:t>network.diagnostics</w:t>
            </w:r>
            <w:r>
              <w:rPr>
                <w:rFonts w:ascii="Times New Roman" w:hAnsi="Times New Roman" w:eastAsia="宋体"/>
                <w:b w:val="0"/>
                <w:i w:val="0"/>
                <w:color w:val="333333"/>
                <w:sz w:val="19"/>
              </w:rPr>
              <w:t xml:space="preserve"> 的 target 只能取内置白名单（本机回环、麒麟/阿里/华为/清华等软件源镜像、公共 DNS 等），从需求层面排除了把系统当作端口扫描跳板的可能。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安全态势感知（只读，按角色脱敏）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这一组是本系统区别于普通运维助手的亮点：三个只读工具把“被攻击面”量化呈现，但侦察级明细（来源 IP、开放端口清单、SUID 文件、UID 0/空密码账户名）对低权限调用方脱敏。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6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549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FR-17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auth</w:t>
            </w:r>
          </w:p>
        </w:tc>
        <w:tc>
          <w:tcPr>
            <w:tcW w:type="dxa" w:w="549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采集近期成功/失败登录与当前会话，识别暴力破解与异常登录迹象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FR-18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firewall</w:t>
            </w:r>
          </w:p>
        </w:tc>
        <w:tc>
          <w:tcPr>
            <w:tcW w:type="dxa" w:w="549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 firewalld 状态、默认区域开放端口与服务，识别高危暴露面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FR-19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privilege</w:t>
            </w:r>
          </w:p>
        </w:tc>
        <w:tc>
          <w:tcPr>
            <w:tcW w:type="dxa" w:w="549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扫描 SUID/SGID 文件、UID 0 账户、空密码账户，识别提权风险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FR-20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按角色脱敏</w:t>
            </w:r>
          </w:p>
        </w:tc>
        <w:tc>
          <w:tcPr>
            <w:tcW w:type="dxa" w:w="549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operator/admin 得全量明细，viewer 仅得计数与风险标志（detail_redacted=true）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脱敏只作用于返回给调用方的内容；审计记录与多步编排的步骤引用仍保留全量，确保“看得到风险计数、但拿不到可直接利用的细节”，同时不牺牲事后追溯能力。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受控操作（中风险）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受控类工具是系统的“手”，只有三个，且每一个都自带强约束——这是刻意为之：能动手的越少、越受限，系统越可信。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  <w:cantSplit/>
        </w:trPr>
        <w:tc>
          <w:tcPr>
            <w:tcW w:type="dxa" w:w="85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47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工具</w:t>
            </w:r>
          </w:p>
        </w:tc>
        <w:tc>
          <w:tcPr>
            <w:tcW w:type="dxa" w:w="260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30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内置约束</w:t>
            </w:r>
          </w:p>
        </w:tc>
        <w:tc>
          <w:tcPr>
            <w:tcW w:type="dxa" w:w="73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FR-21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service.restart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重启指定 systemd 服务并回查状态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仅白名单服务（nginx/httpd/mysqld/postgresql/redis/software-cup-ops）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FR-22</w:t>
            </w:r>
          </w:p>
        </w:tc>
        <w:tc>
          <w:tcPr>
            <w:tcW w:type="dxa" w:w="147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process.kill</w:t>
            </w:r>
          </w:p>
        </w:tc>
        <w:tc>
          <w:tcPr>
            <w:tcW w:type="dxa" w:w="260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向指定非系统进程发送 TERM 信号，支持 dry_run</w:t>
            </w:r>
          </w:p>
        </w:tc>
        <w:tc>
          <w:tcPr>
            <w:tcW w:type="dxa" w:w="30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PID≥101，拦截受保护进程名与系统/父进程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FR-23</w:t>
            </w:r>
          </w:p>
        </w:tc>
        <w:tc>
          <w:tcPr>
            <w:tcW w:type="dxa" w:w="147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temp.clean</w:t>
            </w:r>
          </w:p>
        </w:tc>
        <w:tc>
          <w:tcPr>
            <w:tcW w:type="dxa" w:w="260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清理安全临时目录下超期文件，支持 dry_run 预览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仅 /tmp、/var/tmp、/opt/software-cup-ops/tmp；软链接校验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</w:tbl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三者均要求 operator/admin 角色与二次确认；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dry_run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预览在安全目录上可免确认，但仍需相应权限——让用户能先“看看会删哪些文件”，再决定是否真正下手。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5.6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安全校验与防护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安全校验是贯穿全链路的“免疫系统”，对应一组必须满足的功能需求。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81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5216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FR-24</w:t>
            </w:r>
          </w:p>
        </w:tc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多层安全校验链</w:t>
            </w:r>
          </w:p>
        </w:tc>
        <w:tc>
          <w:tcPr>
            <w:tcW w:type="dxa" w:w="521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执行前依次校验工具白名单、参数 schema、参数字符集、危险路径、危险命令、角色权限、二次确认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FR-25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扫描工具动态评级</w:t>
            </w:r>
          </w:p>
        </w:tc>
        <w:tc>
          <w:tcPr>
            <w:tcW w:type="dxa" w:w="521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disk.large_files/disk.top_dirs/package.repo 目标路径在 SAFE_SCAN_DIRS 内维持 low，否则升级 medium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FR-26</w:t>
            </w:r>
          </w:p>
        </w:tc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危险命令/路径拦截</w:t>
            </w:r>
          </w:p>
        </w:tc>
        <w:tc>
          <w:tcPr>
            <w:tcW w:type="dxa" w:w="521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命中 rm -rf /、mkfs、dd of=/dev、fork 炸弹、curl|sh、关闭防火墙等模式即判 prohibited 阻断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FR-27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观测数据隔离</w:t>
            </w:r>
          </w:p>
        </w:tc>
        <w:tc>
          <w:tcPr>
            <w:tcW w:type="dxa" w:w="5216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工具结果进入 LLM 前封装为 &lt;OBSERVED_DATA trust=untrusted&gt;，并扫描注入特征记录审计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FR-28</w:t>
            </w:r>
          </w:p>
        </w:tc>
        <w:tc>
          <w:tcPr>
            <w:tcW w:type="dxa" w:w="181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进程/服务保护</w:t>
            </w:r>
          </w:p>
        </w:tc>
        <w:tc>
          <w:tcPr>
            <w:tcW w:type="dxa" w:w="5216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终止进程拦截系统 PID 与受保护进程名；重启限定白名单，受保护服务不可停用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高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5.7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审计与可观测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532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FR-29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全链路审计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每次请求生成 trace_id，逐阶段写入接收/规划/校验/执行/结论等事件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FR-30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审计防篡改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事件以 SHA-256 哈希链 + audit_meta 链接，可检测内容篡改、中间删除与尾部截断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FR-31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查询/导出/校验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支持按 trace_id/user/status 查询、NDJSON 导出与哈希链完整性校验接口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FR-32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运行身份查询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可查询当前运行 uid/gid 与最小权限是否生效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5.8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接口与集成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532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FR-33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HTTP API 表面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提供 Agent 执行/规划、安全评估、工具列表与直调、LLM 状态、审计、运行身份等 REST 接口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FR-34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标准 MCP 服务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在 /mcp 暴露 Streamable HTTP 的 tools/list 与 tools/call，复用同一安全闸门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中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5.9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部署与运行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39"/>
        <w:gridCol w:w="2239"/>
        <w:gridCol w:w="2239"/>
        <w:gridCol w:w="2239"/>
      </w:tblGrid>
      <w:tr>
        <w:trPr>
          <w:tblHeader w:val="true"/>
          <w:cantSplit/>
        </w:trPr>
        <w:tc>
          <w:tcPr>
            <w:tcW w:type="dxa" w:w="90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532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需求描述</w:t>
            </w:r>
          </w:p>
        </w:tc>
        <w:tc>
          <w:tcPr>
            <w:tcW w:type="dxa" w:w="737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FR-35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最小权限部署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支持 software-cup-agent 低权限用户与 systemd 加固，root 启动时子进程降权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FR-36</w:t>
            </w:r>
          </w:p>
        </w:tc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平台感知模板</w:t>
            </w:r>
          </w:p>
        </w:tc>
        <w:tc>
          <w:tcPr>
            <w:tcW w:type="dxa" w:w="532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Windows 与 麒麟/Linux 采用不同命令模板，受控操作在 Windows 明确返回不支持</w:t>
            </w:r>
          </w:p>
        </w:tc>
        <w:tc>
          <w:tcPr>
            <w:tcW w:type="dxa" w:w="737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FR-37</w:t>
            </w:r>
          </w:p>
        </w:tc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前端控制台</w:t>
            </w:r>
          </w:p>
        </w:tc>
        <w:tc>
          <w:tcPr>
            <w:tcW w:type="dxa" w:w="532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提供智能对话、系统看板、MCP 工具、审计日志四个页面</w:t>
            </w:r>
          </w:p>
        </w:tc>
        <w:tc>
          <w:tcPr>
            <w:tcW w:type="dxa" w:w="737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高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5.10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需求实例：一次“服务异常→日志→建议重启”闭环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为让上述需求可被直观检验，给出一个贯穿 FR-01/03/12/11/21 的端到端实例。operator 角色提交诉求但未预先确认：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// 请求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POST /api/agent/execute    Authorization: Bearer &lt;operator-token&gt;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{ "query": "nginx 是不是挂了？必要时看看日志", "approved": false }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1　请求：未确认的诊断诉求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// 响应（节选）：闭环自动跑完只读诊断，操作类工具被拦下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{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"trace_id": "9f2c…",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"steps": [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{"step": 1, "tools": ["service"], "observation_summary": "nginx: inactive(dead)"},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{"step": 2, "tools": ["log"],     "observation_summary": "近 200 行含 12 条 error"}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],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"suggested_actions": [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{"tool": "service.restart", "arguments": {"service_name": "nginx"},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   "reason": "服务 inactive 且日志报错，建议重启"}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],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"approved_required": true,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"conclusion": {"status": "warning", "conclusion": "nginx 已停止，建议确认后重启"}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}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2　响应：只读结果直接给出，受控操作转为待确认建议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调用方若认可建议，再带 </w:t>
      </w:r>
      <w:r>
        <w:rPr>
          <w:rFonts w:ascii="Consolas" w:hAnsi="Consolas" w:eastAsia="Consolas"/>
          <w:b w:val="0"/>
          <w:i w:val="0"/>
          <w:color w:val="244061"/>
          <w:sz w:val="20"/>
          <w:shd w:val="clear" w:color="auto" w:fill="EEF1F5"/>
        </w:rPr>
        <w:t>approved=true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重新提交对应操作即可真正执行——系统从不替用户按下这一步确认。整条链路（含两步观测、被拦下的建议）都可凭 trace_id 在审计中还原。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6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非功能需求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非功能需求规定系统“做得好不好”，其中安全性与可审计性是本系统的生命线。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安全性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NFR-S1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：所有工具执行必须先过后端安全校验；high 与 prohibited 默认阻断。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NFR-S2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：命令只能由具名模板渲染，任何模块不得直接调用 subprocess 或拼接 shell。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NFR-S3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：角色由服务端令牌绑定，客户端无法自我提权。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NFR-S4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：观测数据默认不可信，注入特征命中须记录但不污染决策。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可靠性与可用性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NFR-R1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：LLM 不可用、超时、非 JSON 时系统须回退本地规则，核心诊断能力不中断。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NFR-R2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：审计写入失败的行为可配置——开发期 best-effort，生产期可设 fail-closed。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NFR-R3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：单步工具失败须快速失败并保留已执行步骤结果，不留“半截”不可知状态。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性能与核心指标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性能目标以“交互不卡顿、诊断够快、并发可控”为原则，具体指标在《性能（核心指标）测试报告》中量化验证，此处给出需求目标值（典型只读诊断、本地规则模式、单机部署）。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204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306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需求目标</w:t>
            </w:r>
          </w:p>
        </w:tc>
        <w:tc>
          <w:tcPr>
            <w:tcW w:type="dxa" w:w="3628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安全校验耗时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&lt; 50 ms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纯本地计算，不含工具执行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单只读工具执行</w:t>
            </w:r>
          </w:p>
        </w:tc>
        <w:tc>
          <w:tcPr>
            <w:tcW w:type="dxa" w:w="30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&lt; 1.5 s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取决于 systemctl/journalctl 等系统命令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本地规则规划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&lt; 50 ms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无外部依赖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LLM 规划（可选）</w:t>
            </w:r>
          </w:p>
        </w:tc>
        <w:tc>
          <w:tcPr>
            <w:tcW w:type="dxa" w:w="30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受 LLM_TIMEOUT_SECONDS（默认 20s）约束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超时即降级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审计单事件写入</w:t>
            </w:r>
          </w:p>
        </w:tc>
        <w:tc>
          <w:tcPr>
            <w:tcW w:type="dxa" w:w="306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P95 &lt; 20 ms</w:t>
            </w:r>
          </w:p>
        </w:tc>
        <w:tc>
          <w:tcPr>
            <w:tcW w:type="dxa" w:w="3628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SQLite WAL + 事务追加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并发请求</w:t>
            </w:r>
          </w:p>
        </w:tc>
        <w:tc>
          <w:tcPr>
            <w:tcW w:type="dxa" w:w="306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≥ 20 并发稳定响应</w:t>
            </w:r>
          </w:p>
        </w:tc>
        <w:tc>
          <w:tcPr>
            <w:tcW w:type="dxa" w:w="3628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单机原型目标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可审计性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可审计性是硬指标：任何一次请求、任何一次被拦截、任何一条真正执行的命令，都必须能凭 trace_id 完整还原，且审计内容具备防篡改能力。这条要求高于性能，必要时以可靠落库优先。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6.5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兼容性与国产化可移植性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NFR-C1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：生产目标为麒麟高级服务器 V11 / LoongArch；开发环境兼容 Windows。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NFR-C2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：平台差异以命令模板分支吸收，新增工具须同时考虑两套平台可用性。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NFR-C3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：不引入对特定闭源组件的强依赖，可在离线机房以本地规则模式运行。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6.6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可扩展性与可维护性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NFR-E1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：新增工具应只需新增工具模块、命令模板与一次 ToolDefinition 注册。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NFR-E2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：风险策略集中在 backend/security/rules.py，便于审查与演进。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NFR-E3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：LLM 规划/分析采用固定 JSON 合约，更换模型供应商不影响调用方。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7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接口需求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对外接口是验收与集成的契约；本章给出 HTTP、MCP 与 LLM 三类接口要求。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HTTP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374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方法 / 路径</w:t>
            </w:r>
          </w:p>
        </w:tc>
        <w:tc>
          <w:tcPr>
            <w:tcW w:type="dxa" w:w="4989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POST /api/agent/execute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完整 Agent 链路：规划→校验→执行→总结→审计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POST /api/agent/plan</w:t>
            </w:r>
          </w:p>
        </w:tc>
        <w:tc>
          <w:tcPr>
            <w:tcW w:type="dxa" w:w="498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仅规划，不执行工具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POST /api/security/evaluate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仅执行安全评估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GET /api/tools · GET /api/tools/{name}</w:t>
            </w:r>
          </w:p>
        </w:tc>
        <w:tc>
          <w:tcPr>
            <w:tcW w:type="dxa" w:w="498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查看工具列表 / 单工具元数据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POST /api/tools/{name}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直接调用指定工具，仍经安全校验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GET /api/mcp/tools</w:t>
            </w:r>
          </w:p>
        </w:tc>
        <w:tc>
          <w:tcPr>
            <w:tcW w:type="dxa" w:w="498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 MCP-like 工具 manifest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GET /api/llm/status · POST /api/llm/test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 / 测试 LLM 配置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GET /api/security/runtime</w:t>
            </w:r>
          </w:p>
        </w:tc>
        <w:tc>
          <w:tcPr>
            <w:tcW w:type="dxa" w:w="498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查看运行身份与最小权限状态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GET /api/audit/recent · /verify · /export</w:t>
            </w:r>
          </w:p>
        </w:tc>
        <w:tc>
          <w:tcPr>
            <w:tcW w:type="dxa" w:w="4989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审计查询 / 哈希链校验 / NDJSON 导出</w:t>
            </w:r>
          </w:p>
        </w:tc>
      </w:tr>
      <w:tr>
        <w:trPr>
          <w:cantSplit/>
        </w:trPr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POST /mcp/</w:t>
            </w:r>
          </w:p>
        </w:tc>
        <w:tc>
          <w:tcPr>
            <w:tcW w:type="dxa" w:w="4989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标准 MCP Streamable HTTP 调用入口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MCP 协议接口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REQ-I1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：/mcp 须实现 tools/list 与 tools/call，工具清单由 ToolRegistry 自动生成。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REQ-I2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：tools/call 必须复用 ToolExecutor 的同一受控路径，不得绕过安全校验与审计。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REQ-I3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：MCP 默认身份为 viewer，受控操作需提升角色并传 approved=true。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7.3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LLM 接口契约与降级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规划与分析两个阶段各自要求固定 JSON。调用方须容忍代码块包裹的 JSON 和不支持 response_format 的模型，并在解析失败时回退本地规则。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// 规划阶段返回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{ "intent": "inspection|diagnosis|risky_operation",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"summary": "一句话意图", "tools": ["service","log"],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"arguments": {}, "steps": [],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"risk_hint": "low|medium|high|prohibited",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"need_confirmation": false, "reasoning": ["简短理由"] }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3　规划 JSON 合约（risk_hint 仅供参考）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58"/>
      </w:tblGrid>
      <w:tr>
        <w:tc>
          <w:tcPr>
            <w:tcW w:type="dxa" w:w="8957"/>
            <w:shd w:val="clear" w:color="auto" w:fill="F5F6F8"/>
            <w:tcMar>
              <w:top w:w="80" w:type="dxa"/>
              <w:bottom w:w="80" w:type="dxa"/>
              <w:start w:w="140" w:type="dxa"/>
              <w:end w:w="140" w:type="dxa"/>
              <w:left w:w="140" w:type="dxa"/>
              <w:right w:w="140" w:type="dxa"/>
            </w:tcMar>
            <w:tcBorders>
              <w:top w:val="single" w:sz="4" w:space="0" w:color="D5D9E0"/>
              <w:bottom w:val="single" w:sz="4" w:space="0" w:color="D5D9E0"/>
              <w:left w:val="single" w:sz="4" w:space="0" w:color="D5D9E0"/>
              <w:right w:val="single" w:sz="4" w:space="0" w:color="D5D9E0"/>
            </w:tcBorders>
          </w:tcPr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// 分析阶段返回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>{ "conclusion": "最终结论", "status": "normal|warning|critical|unknown",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"root_cause": "根因或无法确认", "evidence": ["关键证据"],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"recommendations": ["建议"], "needs_more_info": false,</w:t>
            </w:r>
          </w:p>
          <w:p>
            <w:pPr>
              <w:spacing w:line="283" w:lineRule="auto" w:after="0" w:before="0"/>
            </w:pPr>
            <w:r>
              <w:rPr>
                <w:rFonts w:ascii="Consolas" w:hAnsi="Consolas" w:eastAsia="Consolas"/>
                <w:b w:val="0"/>
                <w:i w:val="0"/>
                <w:color w:val="1A2430"/>
                <w:sz w:val="18"/>
              </w:rPr>
              <w:t xml:space="preserve">  "follow_up_questions": [] }</w:t>
            </w:r>
          </w:p>
        </w:tc>
      </w:tr>
    </w:tbl>
    <w:p>
      <w:pPr>
        <w:spacing w:after="160" w:before="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7"/>
        </w:rPr>
        <w:t>示例 4　分析 JSON 合约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8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数据需求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系统持久化的核心是审计数据与会话上下文，外加一组运行配置。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审计事件数据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审计是系统唯一的权威持久化数据，落地于 SQLite。每条事件的字段与防篡改链如下。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7030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timestamp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事件时间（ISO 8601 UTC）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trace_id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全链路追踪标识，串联同一请求的所有阶段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stage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阶段名：received_instruction / llm_decision / security_validation / tool_call / execution_result / reasoning_step / injection_scan / suggested_action / final_answer / trace_complete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user_id / status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调用方标识与该阶段状态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data_json</w:t>
            </w:r>
          </w:p>
        </w:tc>
        <w:tc>
          <w:tcPr>
            <w:tcW w:type="dxa" w:w="7030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该阶段结构化数据（已脱敏的可对外内容除外，审计保留全量）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prev_hash / hash</w:t>
            </w:r>
          </w:p>
        </w:tc>
        <w:tc>
          <w:tcPr>
            <w:tcW w:type="dxa" w:w="7030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SHA-256 哈希链字段，与 audit_meta 同事务更新以防篡改</w:t>
            </w:r>
          </w:p>
        </w:tc>
      </w:tr>
    </w:tbl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会话上下文数据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REQ-D1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：会话状态记录上一轮关键实体（如服务名、PID、路径），供下一轮规划复用。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REQ-D2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：会话按主体（令牌派生值/匿名）归属，owner 不匹配则视为无上下文。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REQ-D3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：会话存储设容量上限并按最近更新时间 LRU 淘汰，避免无限增长。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8.3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配置数据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配置项（环境变量）</w:t>
            </w:r>
          </w:p>
        </w:tc>
        <w:tc>
          <w:tcPr>
            <w:tcW w:type="dxa" w:w="374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作用</w:t>
            </w:r>
          </w:p>
        </w:tc>
        <w:tc>
          <w:tcPr>
            <w:tcW w:type="dxa" w:w="215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默认 / 取值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LLM_PROVIDER / *_API_KEY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选择并启用 DeepSeek/Qwen，未配置则用本地规则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未配置（禁用 LLM）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LLM_TIMEOUT_SECONDS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LLM 请求超时，超时即降级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20（上限 120）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AGENT_MAX_REASONING_STEPS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多步只读闭环最大步数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3（范围 1–10）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AGENT_*_TOKEN / AGENT_DEFAULT_ROLE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令牌→角色映射与缺省角色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缺省 viewer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AGENT_RUN_USER / _GROUP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最小权限目标用户/组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software-cup-agent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AGENT_STRICT_LEAST_PRIVILEGE</w:t>
            </w:r>
          </w:p>
        </w:tc>
        <w:tc>
          <w:tcPr>
            <w:tcW w:type="dxa" w:w="374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root 无法降权时是否拒绝执行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7"/>
              </w:rPr>
              <w:t>AGENT_AUDIT_DB_PATH / _FAIL_CLOSED</w:t>
            </w:r>
          </w:p>
        </w:tc>
        <w:tc>
          <w:tcPr>
            <w:tcW w:type="dxa" w:w="374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审计库路径与写入失败策略</w:t>
            </w:r>
          </w:p>
        </w:tc>
        <w:tc>
          <w:tcPr>
            <w:tcW w:type="dxa" w:w="215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进程内默认库 / best-effort</w:t>
            </w:r>
          </w:p>
        </w:tc>
      </w:tr>
    </w:tbl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9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约束与假设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约束是不可逾越的红线，假设是需求成立的前提，二者都需在设计与验收中保持。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9.1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设计约束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CON-1 命令模板唯一通道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：系统命令只能经 run_template/run_optional_template 执行，禁止直接 subprocess 或拼接 shell。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CON-2 安全前置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：链路顺序固定为 规划→安全校验→工具执行→总结→审计；多步编排下“每步执行前先过该步校验”不变。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CON-3 后端权威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：风险等级、危险模式、角色策略以后端为准，LLM 与前端确认不能放行高风险。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CON-4 平台双模板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：Windows 与 麒麟/Linux 模板分离，受控操作在 Windows 明确不支持。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9.2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运行依赖与假设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ASM-1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：被运维主机提供 systemctl、journalctl、ss、firewall-cmd 等标准命令（麒麟 V11 默认具备）。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ASM-2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：生产以低权限用户运行；如以 root 启动，假定目标低权限用户可解析以便降权。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ASM-3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：LLM 为可选增强；离线或无密钥环境下系统以本地规则模式提供核心能力。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ASM-4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：审计库所在路径对运行用户可写。</w:t>
      </w:r>
    </w:p>
    <w:p>
      <w:pPr>
        <w:pStyle w:val="Heading1"/>
        <w:keepNext/>
        <w:spacing w:before="320" w:after="160"/>
        <w:pBdr>
          <w:bottom w:val="single" w:sz="8" w:space="4" w:color="B7C7DD"/>
        </w:pBdr>
      </w:pPr>
      <w:r>
        <w:rPr>
          <w:rFonts w:ascii="微软雅黑" w:hAnsi="微软雅黑" w:eastAsia="微软雅黑"/>
          <w:b/>
          <w:i w:val="0"/>
          <w:color w:val="2E74B5"/>
          <w:sz w:val="32"/>
        </w:rPr>
        <w:t xml:space="preserve">10　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验收标准</w:t>
      </w:r>
    </w:p>
    <w:p>
      <w:pPr>
        <w:spacing w:line="336" w:lineRule="auto" w:after="160"/>
        <w:ind w:left="200"/>
        <w:pBdr>
          <w:left w:val="single" w:sz="18" w:space="8" w:color="2E74B5"/>
        </w:pBdr>
      </w:pPr>
      <w:r>
        <w:rPr>
          <w:rFonts w:ascii="Times New Roman" w:hAnsi="Times New Roman" w:eastAsia="宋体"/>
          <w:b w:val="0"/>
          <w:i w:val="0"/>
          <w:color w:val="5A5A5A"/>
          <w:sz w:val="21"/>
        </w:rPr>
        <w:t>验收标准把抽象需求落为可勾选的检查项，覆盖功能、安全、可观测与交付物。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10.1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功能验收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AC-F1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：能完成系统、进程、网络、日志、服务、磁盘、软件源及安全态势的只读诊断并给出结构化结论。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AC-F2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：多步诊断仅自动执行只读工具，操作类工具进入 suggested_actions 待确认。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AC-F3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：LLM 未配置时，规划与总结自动回退本地规则，核心能力可用。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AC-F4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：MCP tools/list 与 tools/call 可用，且不绕过安全校验。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10.2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安全验收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AC-S1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：viewer 无法执行任何中风险操作；operator/admin 须 approved=true 才能执行允许范围内操作。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AC-S2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：rm -rf /、关闭防火墙、改写系统目录等危险命令/路径被无条件阻断。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AC-S3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：受保护进程、受保护服务、非白名单服务的受控操作均被拦截。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AC-S4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：安全态势工具对 viewer 脱敏，仅返回计数与风险标志。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10.3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可观测与性能验收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AC-O1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：每次请求可凭 trace_id 查到完整阶段链；/api/audit/verify 校验哈希链通过。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AC-O2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：注入特征命中会产生 injection_scan 审计事件且不改变决策。</w:t>
      </w:r>
    </w:p>
    <w:p>
      <w:pPr>
        <w:pStyle w:val="ListBullet"/>
        <w:spacing w:line="324" w:lineRule="auto" w:after="60"/>
        <w:ind w:left="360" w:hanging="180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AC-P1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：6.3 节核心性能指标在单机原型上达标。</w:t>
      </w:r>
    </w:p>
    <w:p>
      <w:pPr>
        <w:pStyle w:val="Heading2"/>
        <w:keepNext/>
        <w:spacing w:before="220" w:after="100"/>
      </w:pPr>
      <w:r>
        <w:rPr>
          <w:rFonts w:ascii="微软雅黑" w:hAnsi="微软雅黑" w:eastAsia="微软雅黑"/>
          <w:b/>
          <w:i w:val="0"/>
          <w:color w:val="2E74B5"/>
          <w:sz w:val="27"/>
        </w:rPr>
        <w:t xml:space="preserve">10.4　</w:t>
      </w:r>
      <w:r>
        <w:rPr>
          <w:rFonts w:ascii="微软雅黑" w:hAnsi="微软雅黑" w:eastAsia="微软雅黑"/>
          <w:b/>
          <w:i w:val="0"/>
          <w:color w:val="1A1A1A"/>
          <w:sz w:val="27"/>
        </w:rPr>
        <w:t>交付物对照</w:t>
      </w:r>
    </w:p>
    <w:p>
      <w:pPr>
        <w:spacing w:lineRule="auto" w:line="348" w:after="12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本需求文档是九项交付材料之一，与其余材料的对应关系如下，便于评审核对完整性。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86"/>
        <w:gridCol w:w="2986"/>
        <w:gridCol w:w="2986"/>
      </w:tblGrid>
      <w:tr>
        <w:trPr>
          <w:tblHeader w:val="true"/>
          <w:cantSplit/>
        </w:trPr>
        <w:tc>
          <w:tcPr>
            <w:tcW w:type="dxa" w:w="794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3515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交付材料</w:t>
            </w:r>
          </w:p>
        </w:tc>
        <w:tc>
          <w:tcPr>
            <w:tcW w:type="dxa" w:w="4422"/>
            <w:vAlign w:val="center"/>
            <w:shd w:val="clear" w:color="auto" w:fill="1F4E7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本文档关联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软件功能需求分析文档</w:t>
            </w:r>
          </w:p>
        </w:tc>
        <w:tc>
          <w:tcPr>
            <w:tcW w:type="dxa" w:w="442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本文档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软件功能设计文档</w:t>
            </w:r>
          </w:p>
        </w:tc>
        <w:tc>
          <w:tcPr>
            <w:tcW w:type="dxa" w:w="442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实现 §4–§5 的架构与模块设计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软件产品说明书</w:t>
            </w:r>
          </w:p>
        </w:tc>
        <w:tc>
          <w:tcPr>
            <w:tcW w:type="dxa" w:w="442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落地 §3 角色、§7 接口的使用说明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软件功能测试报告</w:t>
            </w:r>
          </w:p>
        </w:tc>
        <w:tc>
          <w:tcPr>
            <w:tcW w:type="dxa" w:w="442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覆盖 §10.1–§10.2 验收项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软件性能（核心指标）测试报告</w:t>
            </w:r>
          </w:p>
        </w:tc>
        <w:tc>
          <w:tcPr>
            <w:tcW w:type="dxa" w:w="442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量化 §6.3 指标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软件安装包及部署文档</w:t>
            </w:r>
          </w:p>
        </w:tc>
        <w:tc>
          <w:tcPr>
            <w:tcW w:type="dxa" w:w="442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实现 §9 约束下的最小权限部署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515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软件源代码（压缩包）</w:t>
            </w:r>
          </w:p>
        </w:tc>
        <w:tc>
          <w:tcPr>
            <w:tcW w:type="dxa" w:w="4422"/>
            <w:vAlign w:val="center"/>
            <w:shd w:val="clear" w:color="auto" w:fill="EFF3F9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全部需求的实现载体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A1A1A"/>
                <w:sz w:val="18"/>
              </w:rPr>
              <w:t>8 / 9</w:t>
            </w:r>
          </w:p>
        </w:tc>
        <w:tc>
          <w:tcPr>
            <w:tcW w:type="dxa" w:w="3515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 PPT / 演示视频</w:t>
            </w:r>
          </w:p>
        </w:tc>
        <w:tc>
          <w:tcPr>
            <w:tcW w:type="dxa" w:w="4422"/>
            <w:vAlign w:val="center"/>
            <w:shd w:val="clear" w:color="auto" w:fill="FFFFFF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tcBorders>
              <w:top w:val="single" w:sz="4" w:space="0" w:color="C9D3E0"/>
              <w:bottom w:val="single" w:sz="4" w:space="0" w:color="C9D3E0"/>
              <w:left w:val="single" w:sz="4" w:space="0" w:color="C9D3E0"/>
              <w:right w:val="single" w:sz="4" w:space="0" w:color="C9D3E0"/>
            </w:tcBorders>
          </w:tcPr>
          <w:p>
            <w:pPr>
              <w:spacing w:line="288" w:lineRule="auto" w:after="20" w:before="2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演示 §4 业务流程与 §5 功能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1440" w:right="1474" w:bottom="1304" w:left="1474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0" w:color="B7C7DD"/>
      </w:pBdr>
    </w:pPr>
    <w:r>
      <w:rPr>
        <w:rFonts w:ascii="Times New Roman" w:hAnsi="Times New Roman" w:eastAsia="宋体"/>
        <w:b w:val="0"/>
        <w:i w:val="0"/>
        <w:color w:val="5A5A5A"/>
        <w:sz w:val="17"/>
      </w:rPr>
      <w:t xml:space="preserve">软件杯 A2 赛题交付材料    |    第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 / 共 </w:t>
    </w:r>
    <w:r>
      <w:rPr>
        <w:rFonts w:ascii="Times New Roman" w:hAnsi="Times New Roman" w:eastAsia="宋体"/>
        <w:b w:val="0"/>
        <w:i w:val="0"/>
        <w:color w:val="5A5A5A"/>
        <w:sz w:val="17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b w:val="0"/>
        <w:i w:val="0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