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40"/>
      </w:pPr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3C3489"/>
          <w:sz w:val="64"/>
          <w:szCs w:val="64"/>
        </w:rPr>
        <w:t xml:space="preserve">軟體需求規格書</w:t>
      </w:r>
    </w:p>
    <w:p>
      <w:pPr>
        <w:spacing w:before="0" w:after="60"/>
        <w:jc w:val="center"/>
      </w:pPr>
      <w:r>
        <w:rPr>
          <w:rFonts w:ascii="Arial" w:cs="Arial" w:eastAsia="Arial" w:hAnsi="Arial"/>
          <w:i/>
          <w:iCs/>
          <w:color w:val="666666"/>
          <w:sz w:val="32"/>
          <w:szCs w:val="32"/>
        </w:rPr>
        <w:t xml:space="preserve">Software Requirements Specification (SRS)</w:t>
      </w:r>
    </w:p>
    <w:p>
      <w:pPr>
        <w:spacing w:before="0" w:after="12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534AB7"/>
          <w:sz w:val="44"/>
          <w:szCs w:val="44"/>
        </w:rPr>
        <w:t xml:space="preserve">基於迭代回饋迴圈（IFL）之 MC/DC 優化機制系統</w:t>
      </w:r>
    </w:p>
    <w:p>
      <w:pPr>
        <w:spacing w:before="0" w:after="24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Iterative Feedback Loop MC/DC Coverage Optimization System for Medical Software Verification</w:t>
      </w:r>
    </w:p>
    <w:p>
      <w:pPr>
        <w:spacing w:before="0" w:after="120"/>
      </w:pPr>
      <w:r>
        <w:t xml:space="preserve"/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600"/>
      </w:tblGrid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文件版本</w:t>
            </w:r>
          </w:p>
        </w:tc>
        <w:tc>
          <w:tcPr>
            <w:tcW w:type="dxa" w:w="5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1.0（初稿）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撰寫日期</w:t>
            </w:r>
          </w:p>
        </w:tc>
        <w:tc>
          <w:tcPr>
            <w:tcW w:type="dxa" w:w="5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2026 年 3 月 18 日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適用標準</w:t>
            </w:r>
          </w:p>
        </w:tc>
        <w:tc>
          <w:tcPr>
            <w:tcW w:type="dxa" w:w="5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IEC 62304:2006、RTCA DO-178C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目標域</w:t>
            </w:r>
          </w:p>
        </w:tc>
        <w:tc>
          <w:tcPr>
            <w:tcW w:type="dxa" w:w="5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醫療器材軟體驗證　／　航太軟體測試合規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文件狀態</w:t>
            </w:r>
          </w:p>
        </w:tc>
        <w:tc>
          <w:tcPr>
            <w:tcW w:type="dxa" w:w="5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待審閱（Pending Review）</w:t>
            </w:r>
          </w:p>
        </w:tc>
      </w:tr>
      <w:tr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機密等級</w:t>
            </w:r>
          </w:p>
        </w:tc>
        <w:tc>
          <w:tcPr>
            <w:tcW w:type="dxa" w:w="5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91F1F"/>
                <w:sz w:val="20"/>
                <w:szCs w:val="20"/>
              </w:rPr>
              <w:t xml:space="preserve">機密　僅供授權人員閱覽</w:t>
            </w:r>
          </w:p>
        </w:tc>
      </w:tr>
    </w:tbl>
    <w:p>
      <w:pPr>
        <w:spacing w:before="0" w:after="36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1　文件概述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1.1　文件目的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本文件為「基於迭代回饋迴圈（IFL；Iterative Feedback Loop）之修正後條件 / 決策覆蓋率（MC/DC；Modified Condition/Decision Coverage）優化機制系統」之軟體需求規格書（SRS）。本文件定義系統的功能需求、技術架構、驗收準則，以及與 IEC 62304:2006 與 RTCA DO-178C 國際法規標準的對應關係，作為後續系統設計、實作、測試與法規審查的基準文件。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1.2　文件範圍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本 SRS 涵蓋以下三個核心子系統的需求規格：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Layer 1｜靜態分析層：Python 抽象語法樹（AST）解析、決策節點識別、布林條件分解、耦合圖建構、動態探針注入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Layer 2｜SMT 推理層：布林導數計算、遮罩效應偵測、缺口損失函數評估、Z3 求解器約束合成、可行解空間萃取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Layer 3｜LLM 協同層：缺口導向提示建構、醫療領域知識過濾、LLM 採樣、接受門控與迭代回饋修正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本文件不涵蓋系統的 UI 介面設計細節，亦不包含部署基礎設施之規格。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1.3　定義與縮寫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縮寫 / 術語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定義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MC/DC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Modified Condition/Decision Coverage，修正後條件 / 決策覆蓋率，要求每個邏輯條件都必須能獨立影響判定結果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IFL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Iterative Feedback Loop，迭代回饋迴圈，本系統的核心優化機制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AST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Abstract Syntax Tree，抽象語法樹，由 Python ast 模組產生的原始碼樹狀表示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SMT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Satisfiability Modulo Theories，可滿足性模理論，Z3 求解器所使用的邏輯推理框架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LLM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Large Language Model，大型語言模型，如 Llama 3、GPT-4o 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GAI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Generative AI，生成式人工智慧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Gap-Guided Prompting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缺口導向提示，本系統的核心創新：將 SMT 求解結果轉化為 LLM 的精確生成指令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DecisionNode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決策節點，AST 中的 If / While / Assert / IfExp 節點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ConditionSet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條件集合，一個決策節點內所有原子條件 cᵢ 的有序集合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Independence Pair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獨立對，滿足 MC/DC 的一對測試案例 (T1, T2)，其中 ci 翻轉且決策結果翻轉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Boolean Derivative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布林導數，∂f/∂xi = f(...,xi=T,...) ⊕ f(...,xi=F,...)，用於偵測遮罩效應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Φ_gap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缺口約束式，由 SMT 求解器針對未覆蓋獨立對所合成的路徑約束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可行解空間，滿足 Φ_gap 且符合醫療領域知識的有效輸入向量集合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L(X)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損失函數，等於未被覆蓋的獨立對數量；L(X)=0 時達到 100% MC/DC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TFDA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Taiwan Food and Drug Administration，台灣食品藥物管理署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CE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Conformité Européenne，歐盟合規標誌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2　系統背景與問題陳述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2.1　研究背景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隨著生成式 AI 與大型語言模型在軟體工程領域的應用日益普及，自動程式碼生成與自動測試生成已成為熱門趨勢。然而，目前的生成式測試技術多半停留在行覆蓋（Line Coverage）或分支覆蓋（Branch Coverage）的層次，對於安全導向之關鍵系統遠遠不足。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依循 IEC 62304:2006 國際標準的醫療器材軟體（Class C），以及依循 RTCA DO-178C 的航太軟體（Level A），均要求達到 MC/DC 這一最高強度的結構化測試標準。MC/DC 要求每個邏輯條件都必須能獨立影響判定結果，這是純粹依賴 LLM 統計推論無法可靠達到的數學屏障。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2.2　核心技術瓶頸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2.2.1　遮罩效應（Masking Effect）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對於複合布林表達式，例如 (c₁ or c₂) and c₃，若測試案例生成時 c₃ = False，則無論 c₁、c₂ 如何變化，整個判定結果恆為 False，導致 c₁、c₂ 的獨立性完全無法被驗證。LLM 的統計推論本質傾向生成「語意合理的常見案例」而非能精準消除遮罩的邊界案例。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2.2.2　盲目迭代（Blind Iteration）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當 LLM 生成的測試集覆蓋率停滯時，傳統做法是重新提示（Re-prompt），但提示中缺乏明確的形式化診斷，使得 LLM 在已充分覆蓋的路徑上反覆生成重複案例，造成運算資源浪費，且無法保證收斂。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2.2.3　路徑爆炸（Path Explosion）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傳統搜尋基礎軟體測試（SBST）隨著條件數量 k 增加，搜尋空間呈指數級 2^k 增長，在複雜醫療邏輯下迅速陷入計算瓶頸。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2.3　解決方案概要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本系統提出「混合式神經符號迭代優化架構」：以靜態程式分析精準定位遮罩成因（耦合圖），以 SMT 求解器將遮罩條件轉化為形式化約束 Φ_gap，再將此約束映射為自然語言的缺口導向提示，引導 LLM 在可行解空間 Ω = {x | Φ(x) ∧ Valid(x)} 中進行定向採樣。此架構不單純依賴 LLM 的黑箱生成能力，亦不依賴傳統 SBST 的盲目搜尋，而是三者的有機整合。</w:t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3　使用者需求分析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3.1　目標使用者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3.1.1　醫療軟體測試工程師（Primary Actor）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系統的主要操作者，具備軟體測試基礎知識，不一定深入理解 MC/DC 的數學推導。其核心痛點為：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手動撰寫 MC/DC 獨立對極度耗時，一個含 5 個條件的決策點理論上需要 10 組精心設計的測試案例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因遮罩效應而漏測，且難以在不使用自動化工具的情況下自我發現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生成的測試資料常違反醫療常識（如年齡為負數），需耗費額外時間手動過濾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3.1.2　品質保證經理（Secondary Actor）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負責監控整個測試專案的合規進度，主要需求為：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即時查看 MC/DC 覆蓋率是否達到法規要求的 100%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評估迭代次數與測試效率，決定是否需要調配人力或延長測試時程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取得可直接提交 TFDA 或 CE 審查的結構化合規報告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3.2　使用情境（Use Cases）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5000"/>
        <w:gridCol w:w="5800"/>
      </w:tblGrid>
      <w:tr>
        <w:tc>
          <w:tcPr>
            <w:tcW w:type="dxa" w:w="1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UC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名稱</w:t>
            </w:r>
          </w:p>
        </w:tc>
        <w:tc>
          <w:tcPr>
            <w:tcW w:type="dxa" w:w="5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主要流程</w:t>
            </w:r>
          </w:p>
        </w:tc>
        <w:tc>
          <w:tcPr>
            <w:tcW w:type="dxa" w:w="5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前置條件 / 成功條件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UC-01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上傳原始碼並建立邏輯模型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工程師上傳 .py 模組 → 系統解析 AST → 識別決策點 → 建立耦合圖 → 輸出 ConditionSet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前置：Python 3.10+ 原始碼　成功：所有決策節點與原子條件正確識別，耦合矩陣無誤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UC-02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設定合規目標並執行初始測試生成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選擇標準（IEC-62304 或 DO-178C）→ LLM 零樣本生成初始測試集 → 計算基準 MC/DC 覆蓋率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前置：UC-01 完成　成功：基準覆蓋率計算完成，損失函數 L(X) &gt; 0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UC-03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查看缺口報告並觸發迭代優化（核心流程）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SMT 識別未覆蓋獨立對 → 合成 Φ_gap → 缺口導向提示 → LLM 生成補充案例 → 更新矩陣 → 重複直到 L(X)=0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前置：UC-02 完成　成功：L(X) 收斂至 0 或輸出部分覆蓋報告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UC-04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驗證測試資料的醫療語意合理性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系統執行領域約束驗證器 → 拒絕 age=-5 等違規資料 → 回饋修正提示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前置：LLM 已生成候選測試案例　成功：有效案例生成比 ≥ 85%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UC-05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匯出合規報告供 QA 審查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QA 經理進入系統 → 查看覆蓋率趨勢圖 → 下載結構化報告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前置：UC-03 完成　成功：報告符合 IEC 62304 附錄要求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4　系統架構概覽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4.1　三層神經符號架構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本系統採用「混合式神經符號迭代優化架構」，三個功能層形成一條線性處理管線，每一層的輸出是下一層的精確輸入：</w:t>
      </w:r>
    </w:p>
    <w:p>
      <w:pPr>
        <w:spacing w:before="0" w:after="120"/>
      </w:pPr>
      <w:r>
        <w:t xml:space="preserve"/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200"/>
        <w:gridCol w:w="4200"/>
      </w:tblGrid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層次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名稱</w:t>
            </w:r>
          </w:p>
        </w:tc>
        <w:tc>
          <w:tcPr>
            <w:tcW w:type="dxa" w:w="5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核心職責</w:t>
            </w:r>
          </w:p>
        </w:tc>
        <w:tc>
          <w:tcPr>
            <w:tcW w:type="dxa" w:w="4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關鍵技術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Layer 1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靜態分析層</w:t>
            </w:r>
          </w:p>
        </w:tc>
        <w:tc>
          <w:tcPr>
            <w:tcW w:type="dxa" w:w="5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解析 Python AST → 識別決策節點 → 分解原子條件 → 建構耦合圖 → 注入執行期探針 → 計算 MC/DC 覆蓋率矩陣 M</w:t>
            </w:r>
          </w:p>
        </w:tc>
        <w:tc>
          <w:tcPr>
            <w:tcW w:type="dxa" w:w="4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ast.NodeTransformer、ast.NodeVisitor、短路求值繞過機制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Layer 2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SMT 推理層</w:t>
            </w:r>
          </w:p>
        </w:tc>
        <w:tc>
          <w:tcPr>
            <w:tcW w:type="dxa" w:w="5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計算布林導數 ∂f/∂xi → 偵測遮罩效應 → 評估損失函數 L(X) → Z3 合成約束 Φ_gap → 萃取可行解空間 Ω</w:t>
            </w:r>
          </w:p>
        </w:tc>
        <w:tc>
          <w:tcPr>
            <w:tcW w:type="dxa" w:w="4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Z3 SMT Solver、cvc5、Boolean Derivative、SMT-LIB 2.0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Layer 3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LLM 協同層</w:t>
            </w:r>
          </w:p>
        </w:tc>
        <w:tc>
          <w:tcPr>
            <w:tcW w:type="dxa" w:w="5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Ω → Gap-Guided Prompt → LLM 定向採樣 → 醫療領域過濾 → 接受門控 → 迭代回饋修正 → 收斂判定</w:t>
            </w:r>
          </w:p>
        </w:tc>
        <w:tc>
          <w:tcPr>
            <w:tcW w:type="dxa" w:w="4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Llama 3 / GPT-4o、Chain-of-Thought、RLHF、HL7/FHIR 約束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4.2　迭代回饋迴圈流程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整個系統的執行流程如下，共五個步驟，步驟 3 至 5 形成閉環：</w:t>
      </w:r>
    </w:p>
    <w:p>
      <w:pPr>
        <w:pStyle w:val="ListParagraph"/>
        <w:numPr>
          <w:ilvl w:val="0"/>
          <w:numId w:val="3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程式解析：上傳 .py 原始碼 → AST 解析 → 決策節點識別 → 耦合圖建構 → 探針注入</w:t>
      </w:r>
    </w:p>
    <w:p>
      <w:pPr>
        <w:pStyle w:val="ListParagraph"/>
        <w:numPr>
          <w:ilvl w:val="0"/>
          <w:numId w:val="3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初始生成與評估：LLM 零樣本生成初始測試套件 → 計算基準 MC/DC 覆蓋率矩陣 M</w:t>
      </w:r>
    </w:p>
    <w:p>
      <w:pPr>
        <w:pStyle w:val="ListParagraph"/>
        <w:numPr>
          <w:ilvl w:val="0"/>
          <w:numId w:val="3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缺口分析：計算 L(X) → 識別每個條件 ci 的未覆蓋獨立對 → Z3 合成 Φ_gap</w:t>
      </w:r>
    </w:p>
    <w:p>
      <w:pPr>
        <w:pStyle w:val="ListParagraph"/>
        <w:numPr>
          <w:ilvl w:val="0"/>
          <w:numId w:val="3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迭代優化：Φ_gap → Gap-Guided Prompt → LLM 生成 x_new → 領域驗證 → 更新矩陣 M</w:t>
      </w:r>
    </w:p>
    <w:p>
      <w:pPr>
        <w:pStyle w:val="ListParagraph"/>
        <w:numPr>
          <w:ilvl w:val="0"/>
          <w:numId w:val="3"/>
        </w:numPr>
        <w:spacing w:before="40" w:after="60"/>
      </w:pPr>
      <w:r>
        <w:rPr>
          <w:rFonts w:ascii="Arial" w:cs="Arial" w:eastAsia="Arial" w:hAnsi="Arial"/>
          <w:sz w:val="22"/>
          <w:szCs w:val="22"/>
        </w:rPr>
        <w:t xml:space="preserve">收斂判定：若 L(X)=0 → 停止並輸出報告；否則返回步驟 3</w:t>
      </w:r>
    </w:p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5　功能需求規格（FR-01 ～ FR-12）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5.1　需求索引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2400"/>
        <w:gridCol w:w="700"/>
        <w:gridCol w:w="5260"/>
        <w:gridCol w:w="3640"/>
      </w:tblGrid>
      <w:tr>
        <w:tc>
          <w:tcPr>
            <w:tcW w:type="dxa" w:w="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編號</w:t>
            </w:r>
          </w:p>
        </w:tc>
        <w:tc>
          <w:tcPr>
            <w:tcW w:type="dxa" w:w="1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層次</w:t>
            </w:r>
          </w:p>
        </w:tc>
        <w:tc>
          <w:tcPr>
            <w:tcW w:type="dxa" w:w="2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名稱</w:t>
            </w:r>
          </w:p>
        </w:tc>
        <w:tc>
          <w:tcPr>
            <w:tcW w:type="dxa" w:w="7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優先</w:t>
            </w:r>
          </w:p>
        </w:tc>
        <w:tc>
          <w:tcPr>
            <w:tcW w:type="dxa" w:w="5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摘要</w:t>
            </w:r>
          </w:p>
        </w:tc>
        <w:tc>
          <w:tcPr>
            <w:tcW w:type="dxa" w:w="3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合規對應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AST 解析與決策節點萃取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解析任意 Python 原始碼，識別所有 If / While / Assert / IfExp 節點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IEC-62304 §5.5.3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布林條件分解與耦合圖建構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將複合表達式分解為原子條件集合，建立耦合鄰接矩陣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IEC-62304 §5.5.3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動態探針注入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在布林子表達式層級插入探針，繞過短路求值捕捉獨立真值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DO-178C 結構覆蓋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MC/DC 覆蓋率矩陣計算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建構 M ∈ {0,1}^{2k×m}，O(k) 增量更新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DO-178C Level 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FR-05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L2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布林導數計算與遮罩偵測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計算 ∂f/∂xi 識別遮罩效應，輸出 MaskingReport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IEC-62304 §5.5.3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FR-06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L2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獨立對缺口分析與損失函數評估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評估 L(X)，輸出按難度排序的 GapList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FR-07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L2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Z3 SMT 約束合成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將缺口轉化為 SMT 公式並求解，10 秒內完成（k≤8）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DO-178C DO-333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FR-08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L2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可行解空間萃取與邊界正規化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從 Z3 模型萃取 Ω 的閉區間表示，附醫療單位標注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FR-09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L3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約束至自然語言提示建構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將 BoundSpec 轉為結構化 Gap-Guided Prompt（≤2048 tokens）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FR-10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L3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醫療領域知識約束過濾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驗證生成資料的醫療合理性，輸出違規詳細報告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HIPAA 意識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FR-11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L3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LLM 引導測試案例採樣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調用 LLM API，一次成功率 ≥ 85%，最多重試 3 次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FR-12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L3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接受門控與迭代回饋修正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18"/>
                <w:szCs w:val="18"/>
              </w:rPr>
              <w:t xml:space="preserve">L(X) 下降則接受，否則觸發修正提示；最多 50 次迭代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IEC-62304 §5.6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5.2　Layer 1：靜態分析層需求詳述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FR-01　Python AST 解析與決策節點萃取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系統應使用 Python ast 模組解析任意 .py 原始碼，走訪整棵 AST，定位所有 If、While、Assert 及行內三元表達式 IfExp 節點，並提取每個決策節點之完整布林表達式及其原始碼行號。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原始 .py 原始碼檔案路徑（支援 Python 3.10+）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DecisionNode 物件清單，每個物件含：{node_type, line_no, expression_str, source_context}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（1）針對疫苗篩選模組，必須正確識別全部三個決策分支（年齡條件、間隔條件、過敏否定），零假陽性。（2）對 5,000 行以內的原始碼，解析時間不得超過 500 ms。（3）語法錯誤的原始碼應回傳結構化錯誤訊息而非崩潰。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IEC 62304:2006 §5.5.3 軟體單元驗證　DO-178C 結構覆蓋分析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FR-02　布林條件分解與耦合圖建構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對每個 DecisionNode，系統應遞迴分解複合布林表達式，提取原子條件集合 C = {c₁, c₂, …, cₖ}，並依 BoolOp 父節點關係建立耦合鄰接矩陣。耦合邊標記類型（OR-coupled / AND-coupled），決定 SMT 求解器的約束方向。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FR-01 產出的 DecisionNode 物件清單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每個 DecisionNode 對應的 ConditionSet、k×k 耦合鄰接矩陣（含邊類型標記）、JSON 序列化輸出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（1）對含 k 個條件的表達式，耦合矩陣中不得有虛假耦合邊（False Positive）。（2）對 (c₁ or c₂) and c₃ and not c₄ 表達式，必須正確識別 c₁↔c₂ 為 OR 強耦合，c₁↔c₃、c₃↔c₄ 等為 AND 弱耦合。（3）耦合矩陣必須序列化為合法 JSON 供下游 SMT 層使用。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為 FR-05 布林導數計算與 FR-07 Z3 約束合成提供輸入基礎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FR-03　動態探針注入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系統應以 ast.NodeTransformer 對原始碼進行 AST 重寫，在每個原子條件 cᵢ 的求值位置插入 probe(cond_id, expr) 呼叫。探針必須在複合表達式組合執行之前完成所有原子條件的求值，以完全繞過 Python 短路求值（Short-circuit Evaluation）的截斷效應。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原始 .py 檔案、ConditionSet（含各 cᵢ 的 AST 節點位置）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儀表板化（Instrumented）.py 檔案；執行期探針日誌 Schema：{test_id, cond_id, value: bool, decision: bool, timestamp}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（1）儀表板化模組必須通過原始單元測試，確保控制流與語意未被改變。（2）即使在短路求值發生的情況下（如 c₁=True 導致 or 截斷），c₂ 的探針仍必須觸發並記錄其真值。（3）探針執行開銷不得使原始程式碼執行時間增加超過 15%。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實作說明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probe(cond_id, value) 函式設計為：記錄 (cond_id, value) 至執行緒安全佇列後，直接 return value，確保對程式語意的零干擾。詳細 AST 重寫範例：_c1 = probe('D1.c1', Age &gt;= 65)；_c2 = probe('D1.c2', HighRisk)；if (_c1 or _c2) and _c3 and not _c4: …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FR-04　MC/DC 覆蓋率矩陣計算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執行測試套件後，系統應建構覆蓋率矩陣 M ∈ {0,1}^{2k×m}，其中 2k 列對應所有條件的翻轉對（F→T 與 T→F 各一列），m 行對應測試案例。M[i][j]=1 當且僅當測試案例 j 的探針日誌，滿足第 i 列翻轉對所需的獨立性條件（條件翻轉、決策翻轉、其他條件無影響）。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FR-03 探針日誌、已執行的測試套件 T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覆蓋率矩陣 M；覆蓋率純量（已覆蓋列數 / 2k）；未覆蓋獨立對清單 Δ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（1）每新增一個測試案例，矩陣更新時間複雜度為 O(k·m)。（2）系統必須正確區分唯一原因型（Unique Cause）與遮罩型（Masking）獨立對。（3）矩陣支援差異比較（diff），用於視覺化呈現迭代收斂進度。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5.3　Layer 2：SMT 推理層需求詳述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FR-05　布林導數計算與遮罩效應偵測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SMT 推理引擎應計算布林導數 ∂f/∂xi = f(…,xi=T,…) ⊕ f(…,xi=F,…)。當 ∂f/∂xi = 0 時，條件 xi 在當前輸入下被遮罩。系統應識別造成遮罩的具體原因（即哪些其他條件的值導致 xi 無法影響決策），並輸出結構化的 MaskingReport。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布林表達式 AST、當前測試輸入向量 x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MaskingReport：{condition_id, is_masked: bool, masking_cause: [condition_id], derivative_value: 0|1}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（1）對 (A∨B)∧C∧¬E，當 C=False 時，系統必須正確識別 A 和 B 被 C 遮罩，並在 masking_cause 中記錄 C。（2）布林導數計算必須精確（無近似），不得使用採樣或蒙地卡羅估計。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IEC 62304:2006 §5.5.3；為 FR-06 損失函數計算提供遮罩分類輸入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FR-06　獨立對缺口分析與損失函數評估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系統應評估損失函數 L(X) = Σᵢ∈C I(Pair(cᵢ) ∉ X)，精確計算當前測試集 X 中缺少多少個獨立對。對損失非零的每個條件，估計其滿足難度（基於需要同時約束的其他條件數量），輸出按難度排序的 GapList。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FR-04 覆蓋率矩陣 M、FR-02 ConditionSet（含耦合鄰接矩陣）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損失純量 L(X)；GapList：[{condition_id, flip_direction, missing_pair_type, estimated_difficulty}]（按 estimated_difficulty 升序排列）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（1）L(X) = 0 若且唯若所有 2k 列均被覆蓋。（2）估計難度排名需與觀察到的 SMT 求解時間呈正相關（Pearson r ≥ 0.6）。（3）系統優先攻克難度低的缺口，以最小化總迭代次數。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FR-07　Z3 SMT 約束合成（核心機制）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對 GapList 中的每個缺口，系統應將獨立對需求編碼為 SMT 公式 Φ_gap，呼叫 Z3 求解器判定可滿足性（SAT）或不可滿足（UNSAT）。SAT 時，Z3 回傳一個具體的輸入向量（可行解）；UNSAT 時，將該路徑標記為不可行（Infeasible），永久停止對此路徑的迭代。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GapList 條目、布林表達式 SMT 編碼、領域型別定義（如 Age: Int, HighRisk: Bool）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SMT 結果：SAT with model（具體數值 Ω）或 UNSAT with infeasibility certificate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（1）對條件數 k ≤ 8 的表達式，Z3 求解需在 10 秒內完成。（2）UNSAT 結果需以否定假設進行第二次求解驗證。（3）已標記為 Infeasible 的路徑不得再次進入求解流程，防止無窮迴圈。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RTCA DO-178C DO-333 形式化方法補充文件；SMT 輸出可作為形式化分析之補充證據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FR-08　可行解空間萃取與邊界正規化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從 Z3 的滿足模型萃取每個涉及變數的可行輸入空間 Ω，將數值型約束正規化為閉區間 [min, max]，類別型約束表示為枚舉有效集合。同時保留醫療單位標注（如 days、years）。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FR-07 Z3 模型輸出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BoundSpec JSON：{var_name, type, interval_or_set, medical_unit}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（1）萃取邊界必須是 Φ_gap 數學解空間的嚴格子集或相等。（2）任何變數不得出現空區間，除非該路徑為 UNSAT。（3）BoundSpec 格式需通過 JSON Schema 驗證，供 FR-09 直接消費。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5.4　Layer 3：LLM 協同層需求詳述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FR-09　約束至自然語言缺口導向提示建構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提示建構模組應將 FR-08 的 BoundSpec 轉化為結構化自然語言指令，包含四個必要段落：（1）醫療情境描述；（2）目標條件獨立性說明；（3）各變數的精確數值約束；（4）輸出格式規範（JSON 物件符合函式簽名）。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BoundSpec（FR-08 輸出）、模組說明文字（docstring）、領域情境字串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結構化提示字串 P_prompt，遵循 Gap-Guided Prompting 範本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（1）提示必須包含 BoundSpec 的所有數值約束，不得模糊化（如不得將 Age ∈ [18,64] 改寫為「年齡適當」）。（2）提示長度不得超過 2,048 tokens。（3）提示中的輸出格式規範必須對應目標函式的 Python 參數簽名。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FR-10　醫療領域知識約束過濾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系統應對 LLM 生成的每個測試案例執行可配置的領域規則集驗證，拒絕醫療上不合理的數值。預設規則集包含：age ∈ [0, 130]、LastDoseDate ≤ today、互斥欄位（如 pregnant=True 且 sex=Male）、字串欄位符合允許醫療詞彙。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LLM 生成的 JSON 測試物件、DomainRuleSet 設定檔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ValidationResult：{passed: bool, violations: [{field, rule, actual_value}]}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（1）必須拒絕 age=-5、age=200、LastDoseDate 在未來的資料。（2）不得拒絕合法邊界案例如 age=0 或 age=130。（3）違規報告須作為修正上下文回饋給下一輪 LLM 提示，而非單純丟棄。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HIPAA 合規意識；IEC 62304 資料合理性要求；防止語意幻覺（Hallucination）污染測試集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FR-11　LLM 引導測試案例採樣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LLM 採樣模組應以 P_prompt 呼叫配置的語言模型 API（支援 Llama 3、GPT-4o、Claude 3.5 等）並解析結構化 JSON 回應。系統將 LLM 視為條件機率採樣器：x_new ∼ P_M(x | Context, Ω)。若解析失敗，以帶有原始回應與 JSON Schema 的元提示（Meta-prompt）重試，最多三次。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P_prompt（FR-09 輸出）、LLM API 設定、重試策略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符合目標函式輸入 Schema 的測試案例物件 x_new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（1）不需重試的一次成功解析率 ≥ 85%。（2）每次 API 呼叫的 Token 消耗量需記錄，用於效率追蹤。（3）所有 API 錯誤（超時、rate limit）需以指數退避（Exponential Backoff）重試。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FR-12　接受門控與迭代回饋修正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屬性</w:t>
            </w:r>
          </w:p>
        </w:tc>
        <w:tc>
          <w:tcPr>
            <w:tcW w:type="dxa" w:w="1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需求描述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執行 x_new 後重新評估 L(X ∪ {x_new})。若 L 下降則接受並更新測試集；若 L 不變（未觸及目標缺口），將失敗原因（SMT 約束違反、非預期遮罩等）編碼為修正提示，返回 FR-09 重新生成。迭代持續至 L(X)=0 或預算耗盡。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x_new（FR-11 輸出）、更新後的探針日誌、迭代計數器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輸出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更新後的測試集 X；收斂狀態：{CONVERGED | BUDGET_EXHAUSTED | INFEASIBLE}；逐迭代損失日誌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驗收準則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（1）L(X ∪ {x_new}) &lt; L(X) 時，必須在一次評估週期內接受 x_new。（2）已知 Infeasible 路徑不得再次進入迭代。（3）對基準疫苗篩選模組（k=5），達到 100% MC/DC 的迭代次數不得超過 50 次。（4）預算耗盡時，必須輸出含剩餘缺口列表的部分覆蓋報告。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IEC 62304:2006 §5.6 軟體整合測試；確保自動化合規測試的完整性與可重現性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6　合規性目標與法規對應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6.1　IEC 62304:2006 對應矩陣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IEC 62304 將醫療軟體依安全等級分為 Class A / B / C，其中 Class C（最高安全等級）要求完整的軟體單元驗證與最高層次的結構覆蓋率。本系統以下列方式對應各項要求：</w:t>
      </w:r>
    </w:p>
    <w:p>
      <w:pPr>
        <w:spacing w:before="0" w:after="120"/>
      </w:pPr>
      <w:r>
        <w:t xml:space="preserve"/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00"/>
        <w:gridCol w:w="6400"/>
      </w:tblGrid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IEC 62304 條款</w:t>
            </w:r>
          </w:p>
        </w:tc>
        <w:tc>
          <w:tcPr>
            <w:tcW w:type="dxa" w:w="4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要求摘要</w:t>
            </w:r>
          </w:p>
        </w:tc>
        <w:tc>
          <w:tcPr>
            <w:tcW w:type="dxa" w:w="6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本系統對應機制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§5.5.3 軟體單元驗證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每個軟體單元的測試覆蓋率需達到指定層次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FR-04 MC/DC 矩陣計算確保 100% 覆蓋率；FR-03 探針注入提供逐條件追蹤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§5.5.4 軟體整合測試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測試案例需可追溯至需求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FR-09 Gap-Guided Prompt 將每個測試案例與對應缺口條件綁定，形成雙向追蹤矩陣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§5.6 驗證活動文件化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驗證結果需以文件形式記錄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FR-12 輸出逐迭代損失日誌與最終覆蓋率矩陣，可直接作為技術文件（Technical File）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§5.7.4 不可行路徑處理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對軟體中無法達到的條件需說明理由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FR-07 UNSAT 結果自動標記不可行路徑並附帶不可滿足性證明（Infeasibility Certificate）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6.2　RTCA DO-178C 對應矩陣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DO-178C Level A 明確要求 MC/DC 覆蓋率，DO-333 形式化方法補充文件進一步支持以形式化方法輔助測試。</w:t>
      </w:r>
    </w:p>
    <w:p>
      <w:pPr>
        <w:spacing w:before="0" w:after="120"/>
      </w:pPr>
      <w:r>
        <w:t xml:space="preserve"/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00"/>
        <w:gridCol w:w="6400"/>
      </w:tblGrid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DO-178C 目標</w:t>
            </w:r>
          </w:p>
        </w:tc>
        <w:tc>
          <w:tcPr>
            <w:tcW w:type="dxa" w:w="4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Level A 要求</w:t>
            </w:r>
          </w:p>
        </w:tc>
        <w:tc>
          <w:tcPr>
            <w:tcW w:type="dxa" w:w="6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本系統對應機制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MC/DC 結構覆蓋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Level A 強制要求 MC/DC 100% 覆蓋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FR-04 至 FR-12 完整實現從缺口識別到案例生成的閉環，保證收斂至 100%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DO-333 形式化方法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允許以形式化方法補充或替代測試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FR-07 Z3 SMT 求解器輸出的 Φ_gap 約束式，可作為形式化分析的補充證據提交 DER 審查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審查透明度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測試覆蓋率需對認證審查官（DER）透明可查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FR-06 GapList 精確列出「尚缺哪些獨立對」，優於單純的覆蓋率百分比，支援 DER 技術複審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工具鑑定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用於產生測試案例的工具需通過鑑定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本系統架構採確定性 SMT 求解（非統計方法），有利於 DO-330 工具鑑定評估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7　非功能需求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9000"/>
      </w:tblGrid>
      <w:tr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類別</w:t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指標</w:t>
            </w:r>
          </w:p>
        </w:tc>
        <w:tc>
          <w:tcPr>
            <w:tcW w:type="dxa" w:w="9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規格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效能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AST 解析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5,000 行以內原始碼，解析時間 ≤ 500 ms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效能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SMT 求解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k ≤ 8 條件之表達式，Z3 求解時間 ≤ 10 秒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效能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矩陣更新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每新增測試案例，MC/DC 矩陣增量更新 ≤ O(k·m) 時間複雜度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效能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LLM 採樣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單次 API 呼叫平均回應時間 ≤ 30 秒（含網路延遲）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可靠性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迭代收斂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基準疫苗模組（k=5）達到 100% MC/DC，迭代次數 ≤ 50 次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可靠性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探針非干擾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儀表板化模組執行開銷增加 ≤ 15%，所有原始單元測試需通過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可靠性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LLM 解析成功率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不需重試的一次成功解析率 ≥ 85%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安全性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個資保護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生成的測試資料不得包含真實個人識別資訊（PII），需符合 HIPAA 去識別化要求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安全性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API 金鑰管理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LLM API 金鑰不得硬編碼於程式碼中，需透過環境變數或密鑰管理服務注入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可維護性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模組化設計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三個功能層（L1 / L2 / L3）需以明確介面解耦，各層可獨立替換（如更換不同 LLM 或 SMT 求解器）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可維護性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設定外部化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LLM 模型選擇、迭代預算、領域規則集等均可透過設定檔調整，無需修改核心程式碼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可攜性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跨平台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系統需可在 Linux（Ubuntu 22.04+）及 macOS 14+ 環境運行，依賴清單以 requirements.txt 及 package.json 明確定義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8　需求依賴關係與執行時程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8.1　需求依賴鏈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各功能需求之間存在嚴格的線性依賴：</w:t>
      </w:r>
    </w:p>
    <w:p>
      <w:pPr>
        <w:spacing w:before="0" w:after="120"/>
      </w:pPr>
      <w:r>
        <w:t xml:space="preserve"/>
      </w:r>
    </w:p>
    <w:p>
      <w:pPr>
        <w:pBdr>
          <w:left w:val="single" w:color="534AB7" w:sz="16"/>
        </w:pBdr>
        <w:shd w:fill="F8F7FF" w:val="clear"/>
        <w:spacing w:before="60" w:after="100"/>
        <w:ind w:left="360"/>
      </w:pPr>
      <w:r>
        <w:rPr>
          <w:rFonts w:ascii="Courier New" w:cs="Courier New" w:eastAsia="Courier New" w:hAnsi="Courier New"/>
          <w:color w:val="534AB7"/>
          <w:sz w:val="20"/>
          <w:szCs w:val="20"/>
        </w:rPr>
        <w:t xml:space="preserve">FR-01 → FR-02 → FR-03 → FR-04  （Layer 1 資料流）</w:t>
      </w:r>
    </w:p>
    <w:p>
      <w:pPr>
        <w:pBdr>
          <w:left w:val="single" w:color="0F6E56" w:sz="16"/>
        </w:pBdr>
        <w:shd w:fill="F0FBF7" w:val="clear"/>
        <w:spacing w:before="20" w:after="100"/>
        <w:ind w:left="360"/>
      </w:pPr>
      <w:r>
        <w:rPr>
          <w:rFonts w:ascii="Courier New" w:cs="Courier New" w:eastAsia="Courier New" w:hAnsi="Courier New"/>
          <w:color w:val="0F6E56"/>
          <w:sz w:val="20"/>
          <w:szCs w:val="20"/>
        </w:rPr>
        <w:t xml:space="preserve">→ FR-05 → FR-06 → FR-07 → FR-08  （Layer 2 資料流）</w:t>
      </w:r>
    </w:p>
    <w:p>
      <w:pPr>
        <w:pBdr>
          <w:left w:val="single" w:color="854F0B" w:sz="16"/>
        </w:pBdr>
        <w:shd w:fill="FFFDF0" w:val="clear"/>
        <w:spacing w:before="20" w:after="100"/>
        <w:ind w:left="360"/>
      </w:pPr>
      <w:r>
        <w:rPr>
          <w:rFonts w:ascii="Courier New" w:cs="Courier New" w:eastAsia="Courier New" w:hAnsi="Courier New"/>
          <w:color w:val="854F0B"/>
          <w:sz w:val="20"/>
          <w:szCs w:val="20"/>
        </w:rPr>
        <w:t xml:space="preserve">→ FR-09 → FR-10 → FR-11 → FR-12  （Layer 3 資料流）</w:t>
      </w:r>
    </w:p>
    <w:p>
      <w:pPr>
        <w:pBdr>
          <w:left w:val="single" w:color="A32D2D" w:sz="16"/>
        </w:pBdr>
        <w:shd w:fill="FFF0F0" w:val="clear"/>
        <w:spacing w:before="20" w:after="140"/>
        <w:ind w:left="360"/>
      </w:pPr>
      <w:r>
        <w:rPr>
          <w:rFonts w:ascii="Courier New" w:cs="Courier New" w:eastAsia="Courier New" w:hAnsi="Courier New"/>
          <w:color w:val="A32D2D"/>
          <w:sz w:val="20"/>
          <w:szCs w:val="20"/>
        </w:rPr>
        <w:t xml:space="preserve">↩ FR-12 → FR-06（L(X)&gt;0 時回饋至缺口分析，形成閉環）</w:t>
      </w:r>
    </w:p>
    <w:p>
      <w:pPr>
        <w:pBdr>
          <w:left w:val="single" w:color="534AB7" w:sz="16"/>
        </w:pBdr>
        <w:shd w:fill="EEEDFE" w:val="clear"/>
        <w:spacing w:before="80" w:after="80"/>
        <w:ind w:left="360" w:right="360"/>
      </w:pPr>
      <w:r>
        <w:rPr>
          <w:rFonts w:ascii="Arial" w:cs="Arial" w:eastAsia="Arial" w:hAnsi="Arial"/>
          <w:b/>
          <w:bCs/>
          <w:color w:val="534AB7"/>
          <w:sz w:val="20"/>
          <w:szCs w:val="20"/>
        </w:rPr>
        <w:t xml:space="preserve">備註　</w:t>
      </w:r>
      <w:r>
        <w:rPr>
          <w:rFonts w:ascii="Arial" w:cs="Arial" w:eastAsia="Arial" w:hAnsi="Arial"/>
          <w:color w:val="3C3489"/>
          <w:sz w:val="20"/>
          <w:szCs w:val="20"/>
        </w:rPr>
        <w:t xml:space="preserve">關鍵路徑節點為 FR-01、FR-05、FR-07、FR-09。上述任一節點失敗將阻斷後續所有需求的實作，應優先驗證。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8.2　建議執行時程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800"/>
        <w:gridCol w:w="3800"/>
      </w:tblGrid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階段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時程</w:t>
            </w:r>
          </w:p>
        </w:tc>
        <w:tc>
          <w:tcPr>
            <w:tcW w:type="dxa" w:w="5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主要交付物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對應需求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Phase 1
核心機制建構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2026/08–10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AST 解析器、耦合圖、探針注入模組；PoC：疫苗邏輯 10 個測試案例基準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FR-01 ～ FR-04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Phase 2
SMT 推理層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2026/10–11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Z3 布林導數計算、遮罩偵測、Φ_gap 合成模組；Ω 萃取與正規化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FR-05 ～ FR-08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Phase 3
LLM 協同層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2026/11–2027/01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Gap-Guided Prompt 範本、領域過濾器、LLM API 整合、迭代回饋閉環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FR-09 ～ FR-12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Phase 4
驗證與成果發表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2027/01–07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全系統效能評估；開源工具發布；研討會論文（ICSE 2027）；期刊投稿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所有 FR</w:t>
            </w:r>
          </w:p>
        </w:tc>
      </w:tr>
    </w:tbl>
    <w:p>
      <w:pPr>
        <w:spacing w:before="0" w:after="120"/>
      </w:pPr>
      <w:r>
        <w:t xml:space="preserve"/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9　附錄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附錄 A　疫苗篩選基準邏輯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本系統以下列醫療邏輯作為核心驗證基準：</w:t>
      </w:r>
    </w:p>
    <w:p>
      <w:pPr>
        <w:spacing w:before="0" w:after="120"/>
      </w:pPr>
      <w:r>
        <w:t xml:space="preserve"/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def check_vaccine_eligibility(age, high_risk, days_since_last, egg_allergy):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  if ((age &gt;= 65 or (age &gt;= 18 and high_risk))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      and (days_since_last &gt; 180)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      and not egg_allergy):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      return True  # 符合接種資格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  return False</w:t>
      </w:r>
    </w:p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此表達式含 5 個原子條件（k=5），需要 2k=10 個翻轉對方可達到 100% MC/DC，是系統複雜度的基準測試標的。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附錄 B　Gap-Guided Prompting 提示範本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以下為 FR-09 產出的標準缺口導向提示結構（以 c₂/HighRisk 的 F→T 缺口為例）：</w:t>
      </w:r>
    </w:p>
    <w:p>
      <w:pPr>
        <w:spacing w:before="0" w:after="120"/>
      </w:pPr>
      <w:r>
        <w:t xml:space="preserve"/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【醫療情境】本測試針對流感疫苗施打資格篩選系統。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【目標缺口】目前測試集缺少條件 c₂（HighRisk=True）的獨立性驗證。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          需要一個案例，使 HighRisk 的改變（F→T）能獨立影響最終結果。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【精確約束】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- patient_age: 整數，範圍 [18, 64]（確保 age&lt;65 條件為 False）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- high_risk: True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- days_since_last_dose: 整數，範圍 [181, 3650]（確保間隔條件為 True）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  - has_egg_allergy: False</w:t>
      </w:r>
    </w:p>
    <w:p>
      <w:pPr>
        <w:pBdr>
          <w:left w:val="single" w:color="534AB7" w:sz="12"/>
        </w:pBdr>
        <w:shd w:fill="F5F5F0" w:val="clear"/>
        <w:spacing w:before="60" w:after="60"/>
        <w:ind w:left="360"/>
      </w:pPr>
      <w:r>
        <w:rPr>
          <w:rFonts w:ascii="Courier New" w:cs="Courier New" w:eastAsia="Courier New" w:hAnsi="Courier New"/>
          <w:color w:val="2C2C2A"/>
          <w:sz w:val="18"/>
          <w:szCs w:val="18"/>
        </w:rPr>
        <w:t xml:space="preserve">【輸出格式】請回傳合法 JSON 物件，鍵名與函式參數完全一致，不要包含任何說明文字。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534AB7"/>
          <w:sz w:val="28"/>
          <w:szCs w:val="28"/>
        </w:rPr>
        <w:t xml:space="preserve">附錄 C　版本修訂記錄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200"/>
        <w:gridCol w:w="4800"/>
      </w:tblGrid>
      <w:tr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版本</w:t>
            </w:r>
          </w:p>
        </w:tc>
        <w:tc>
          <w:tcPr>
            <w:tcW w:type="dxa" w:w="2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日期</w:t>
            </w:r>
          </w:p>
        </w:tc>
        <w:tc>
          <w:tcPr>
            <w:tcW w:type="dxa" w:w="5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修訂說明</w:t>
            </w:r>
          </w:p>
        </w:tc>
        <w:tc>
          <w:tcPr>
            <w:tcW w:type="dxa" w:w="4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修訂人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A"/>
                <w:sz w:val="20"/>
                <w:szCs w:val="20"/>
              </w:rPr>
              <w:t xml:space="preserve">1.0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2026-03-18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初稿發布，涵蓋 FR-01 至 FR-12 完整需求規格，含 IEC 62304 與 DO-178C 合規對應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A"/>
                <w:sz w:val="20"/>
                <w:szCs w:val="20"/>
              </w:rPr>
              <w:t xml:space="preserve">系統分析師（Claude Sonnet 4.6）</w:t>
            </w:r>
          </w:p>
        </w:tc>
      </w:tr>
    </w:tbl>
    <w:p>
      <w:pPr>
        <w:spacing w:before="0" w:after="240"/>
      </w:pPr>
      <w:r>
        <w:t xml:space="preserve"/>
      </w:r>
    </w:p>
    <w:p>
      <w:pPr>
        <w:spacing w:before="480" w:after="0"/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— 文件結束 —</w:t>
      </w:r>
    </w:p>
    <w:sectPr>
      <w:headerReference w:type="default" r:id="rId6"/>
      <w:footerReference w:type="default" r:id="rId7"/>
      <w:pgSz w:w="16838" w:h="11906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534AB7" w:sz="6"/>
      </w:pBdr>
      <w:tabs>
        <w:tab w:val="right" w:pos="14000"/>
      </w:tabs>
      <w:spacing w:before="80"/>
    </w:pPr>
    <w:r>
      <w:rPr>
        <w:rFonts w:ascii="Arial" w:cs="Arial" w:eastAsia="Arial" w:hAnsi="Arial"/>
        <w:color w:val="999999"/>
        <w:sz w:val="16"/>
        <w:szCs w:val="16"/>
      </w:rPr>
      <w:t xml:space="preserve">機密文件　僅供內部使用</w:t>
    </w:r>
    <w:r>
      <w:rPr>
        <w:rFonts w:ascii="Arial" w:cs="Arial" w:eastAsia="Arial" w:hAnsi="Arial"/>
        <w:color w:val="999999"/>
        <w:sz w:val="16"/>
        <w:szCs w:val="16"/>
      </w:rPr>
      <w:t xml:space="preserve">	第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34AB7" w:sz="6"/>
      </w:pBdr>
      <w:tabs>
        <w:tab w:val="right" w:pos="14000"/>
      </w:tabs>
      <w:spacing w:after="120"/>
    </w:pPr>
    <w:r>
      <w:rPr>
        <w:rFonts w:ascii="Arial" w:cs="Arial" w:eastAsia="Arial" w:hAnsi="Arial"/>
        <w:color w:val="666666"/>
        <w:sz w:val="18"/>
        <w:szCs w:val="18"/>
      </w:rPr>
      <w:t xml:space="preserve">軟體需求規格書（SRS）　IFL 迭代回饋迴圈之 MC/DC 優化機制系統</w:t>
    </w:r>
    <w:r>
      <w:rPr>
        <w:rFonts w:ascii="Arial" w:cs="Arial" w:eastAsia="Arial" w:hAnsi="Arial"/>
        <w:color w:val="999999"/>
        <w:sz w:val="18"/>
        <w:szCs w:val="18"/>
      </w:rPr>
      <w:t xml:space="preserve">	版本 1.0　2026-03-18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decimal"/>
      <w:lvlText w:val="%1.%2.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0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60" w:after="160"/>
      <w:outlineLvl w:val="1"/>
    </w:pPr>
    <w:rPr>
      <w:rFonts w:ascii="Arial" w:cs="Arial" w:eastAsia="Arial" w:hAnsi="Arial"/>
      <w:b/>
      <w:bCs/>
      <w:color w:val="534AB7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2026-03-18T12:37:14.327Z</dcterms:created>
  <dcterms:modified xsi:type="dcterms:W3CDTF">2026-03-18T12:37:14.328Z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