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0"/>
        </w:rPr>
        <w:t>《底芯星巡——煤矿顶板数字孪生智能防控平台》</w:t>
      </w:r>
    </w:p>
    <w:p>
      <w:pPr>
        <w:jc w:val="center"/>
      </w:pPr>
      <w:r>
        <w:rPr>
          <w:rFonts w:ascii="黑体" w:hAnsi="黑体" w:eastAsia="黑体"/>
          <w:b/>
          <w:sz w:val="30"/>
        </w:rPr>
        <w:t>申报书 · 公式与插图文字稿（含图占位框）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使用说明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1. 本稿按正文出现顺序编号：公式用「（1）（2）…」，图用「图1 图2 …」，表用「表1 表2 …」，互不混编。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2. 每条公式/图均标注「落位」，指明插入申报书的哪一节；引导句可直接抄入正文，保证图文衔接。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3. 图占位框为带边框的方框，在 Word 中插入图片后删除该框，图题保留在图下方。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4. 公式当前为线性文本，选中后按 Alt + = 可一键转为 Word 公式对象；如需更规范可用公式编辑器重排。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5. 全文建议小四号仿宋、1.5 倍行距（申报书填写须知第五条），A4 双面、左侧装订。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优先级：【必】= 评审重点关注，建议优先完成；【建议】= 加分项，时间允许时补充。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第一部分  公式文字稿（共 16 组）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一、硬件标定与量纲换算类 —— 插在「研究内容 1」末 或「2.1 硬件层 问题一」之后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对应正文"低功耗休眠采集与实物标定系数表保证精度"，把系数来源写成公式。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式（1）应变—锚杆载荷换算（对应"锚杆载荷"参量）【必】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ε = (ΔR / R) / K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σ = E · ε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F = σ · A</w:t>
        <w:tab/>
        <w:t>（1）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变量：K 为应变片灵敏度系数；ΔR/R 为相对电阻变化；E 为锚杆弹性模量；A 为锚杆截面积；F 为锚杆载荷（kN）。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引导句：锚杆载荷由贴片应变经式（1）换算，作为第二层巷道监测的基础量。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式（2）超声波测距与温度补偿（对应"顶板位移"）【建议】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d = v · t / 2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v = 331.4 + 0.607 T</w:t>
        <w:tab/>
        <w:t>（2）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变量：t 为超声波往返时延（s）；T 为环境温度（℃）；v 为声速（m/s）；d 为顶板位移（m）。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式（3）液位与岩溶承压水头两点线性标定【必】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h = h₀ + k · (N − N₀),    k = (h₁ − h₀) / (N₁ − N₀)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H = p / (ρ · g)</w:t>
        <w:tab/>
        <w:t>（3）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变量：N 为采集通道读数（ADC 码值或 4–20 mA 换算电流）；h₀、N₀ 为标定零点；k 为标定斜率；p 为承压水压（Pa）；ρ 为水密度；g 为重力加速度；H 为水头（m）。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引导句：液位与承压水头由式（3）两点标定得到，标定系数随终端下行并写入系数表，实现阈值热更新。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式（4）MQ2 可燃气体浓度换算【必】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Rs = (Vcc − Vout) / Vout · RL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ppm = a · (Rs / R0)^b</w:t>
        <w:tab/>
        <w:t>（4）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变量：Rs 为传感器电阻；R0 为洁净空气基准电阻；RL 为负载电阻；a、b 为标定常数。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式（5）薄膜压力（FSR）载荷反演（对应"支架阻力"）【必】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Rfsr = Rf · (Vcc − Vout) / Vout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F = c · Rfsr^(−d)</w:t>
        <w:tab/>
        <w:t>（5）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变量：Rf 为分压电阻；c、d 为幂律拟合系数，由实物标定逐路拟合得到。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引导句：薄膜压力与 FSR 系数按式（5）在实物标定中逐路拟合，取代出厂经验值。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二、特征工程类 —— 插在「研究内容 2」或「2.2 软件层 问题一」之后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对应正文"以时间对齐与滑动窗口统计解决多参量融合"。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式（6）滑动窗口统计特征（13 维特征的来源）【必】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μ = (1 / W) · Σ xᵢ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σ = √[ (1 / W) · Σ (xᵢ − μ)² ]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Δpk = max(x) − min(x)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r = (x_t − x_(t−1)) / Δt</w:t>
        <w:tab/>
        <w:t>（6）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变量：W 为窗口长度；μ、σ 为窗口内均值与标准差；Δpk 为峰峰值；r 为变化率。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引导句：每个参量在窗口内提取式（6）四类统计量，与机理量合并构成 13 维特征向量。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式（7）基准偏移归一化【建议】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ξᵢ = clip( (xᵢ − Bᵢ) / (Rᵢ − Bᵢ), 0, 1 )</w:t>
        <w:tab/>
        <w:t>（7）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变量：Bᵢ 为第 i 个参量的临界基准；Rᵢ 为对应红色阈值；ξᵢ 为归一化场强（0–1）。对应正文"从多维度设置参量临界基准"。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三、MCFLR 预警模型类 —— 插在「创新点 2」「研究内容 2」与「2.2 软件层 问题二」（最重要）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式（8）MCFLR 灾变概率【必】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z = β₀ + Σᵢ₌₁¹³ βᵢ · xᵢ′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 = 1 / (1 + e^(−z))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判定：p ≥ T（当前工作点 T = 0.70）</w:t>
        <w:tab/>
        <w:t>（8）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变量：βᵢ 为回归系数；z 为线性判别值；p 为灾变概率。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引导句：模型输出灾变概率如式（8），工作点 T 当前取 0.70，是在漏报与误报之间取的工程可接受平衡，不是理论最优。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式（9）目标函数（L2 正则 + 漏报代价加权 + 难负样本）【必】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J(β) = −(1 / N) · Σⱼ wⱼ · [ yⱼ · ln pⱼ + (1 − yⱼ) · ln(1 − pⱼ) ] + (λ / 2) · ‖β‖²</w:t>
        <w:tab/>
        <w:t>（9）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变量：wⱼ 为样本权重（漏报样本加权更大）；yⱼ 为真实标签；λ 为正则强度；‖β‖² 为 L2 惩罚项。对应正文"漏报代价优先的样本加权与难负样本策略"。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式（10）耦合强度 S 与耦合广度 B【必】（创新点 2 的核心定义式）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ξᵢ = clip( (xᵢ − Bᵢ) / (Rᵢ − Bᵢ), 0, 1 )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B_耦合 = (1 / M) · Σᵢ 1{ ξᵢ ≥ θᵢ }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S_耦合 = ( Πᵢ₌₁ᴹ ξᵢ )^(1 / M)</w:t>
        <w:tab/>
        <w:t>（10）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变量：M 为参与耦合的物理场数（应力、位移、水压、震动、锚杆、环境）；θᵢ 为该场基准；B_耦合 为超基准场数占比（广度）；S_耦合 为几何均值形式的强度。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机理说明（必须写进正文）：几何均值对"任一维度接近零"高度敏感，因此能把"单场突增"与"多场同涨"区分开，这正是"耦合"语义所在。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引导句：多物理场耦合作用按式（10）显式编码为耦合强度与耦合广度两个特征，再进入式（8）参与判别。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式（11）综合威胁度【建议】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Threat = α · S_耦合 + (1 − α) · B_耦合</w:t>
        <w:tab/>
        <w:t>（11）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变量：α 为强度与广度的权衡系数；Threat 与该参量临界基准 Th₀ 比较，对应正文"构建威胁度"。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四、预警分级与评价指标类 —— 插在「3.1 技术成果（1）」与「3.4 性能成果」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式（12）四级预警分段判据【必】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 &lt; p₁              → 蓝色（正常）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p₁ ≤ p &lt; p₂         → 黄色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p₂ ≤ p &lt; p₃         → 橙色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 ≥ p₃              → 红色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建议初值：p₁ = 0.55,  p₂ = 0.70（工作点）,  p₃ = 0.85</w:t>
        <w:tab/>
        <w:t>（12）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说明：把工作点 0.70 落在橙色起点，与正文"阈值工作点当前取 0.70"自洽。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式（13）评价指标定义【必】（正文 3.4 只给了数值，需补定义）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Acc = (TP + TN) / (TP + TN + FP + FN)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FPR = FP / (FP + TN)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Recall = TP / (TP + FN)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Precision = TP / (TP + FP)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F1 = 2 · Precision · Recall / (Precision + Recall)</w:t>
        <w:tab/>
        <w:t>（13）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目标：Acc ≥ 85%、FPR ≤ 15%、Recall ≥ 85%。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引导句：上述指标按式（13）定义，在固定测试集上评估，优于赛题"准确率 ≥85%、误报率 ≤15%"的量化要求。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式（14）端到端时延分解【建议】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T_total = t_采集 + t_总线 + t_LoRa + t_网关 + t_上行 + t_解析入库 + t_特征 + t_推理 + t_广播 + t_渲染 ≤ 5 s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约束：t_接口 &lt; 500 ms,  t_广播 &lt; 1 s,  t_阈值下行热生效 ≤ 10 s</w:t>
        <w:tab/>
        <w:t>（14）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对应正文「3.4 实时性」的四项指标。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五、通信与推演类 —— 插在「2.1 硬件层」与「研究内容 3」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式（15）LoRa 链路预算、丢包率与续航【建议】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FSPL(dB) = 32.44 + 20 · lg f(MHz) + 20 · lg d(km)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P_rx = P_tx + G_tx − L_path + G_rx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M_余量 = P_rx − S_rx   （M_余量 &gt; 0 视为链路可用）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PLR = 1 − N_recv / N_sent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T_续航 = C_电池 / I_平均,   I_平均 = I_休眠 + duty · (I_发射 − I_休眠)</w:t>
        <w:tab/>
        <w:t>（15）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对应正文"验证 LoRa Mesh + 边缘网关在巷道遮挡条件下的丢包率与续航"。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式（16）趋势推演【建议】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最小二乘：ŷ_t = a + b · t,    b = Σ (tᵢ − t̄)(yᵢ − ȳ) / Σ (tᵢ − t̄)²</w:t>
      </w:r>
    </w:p>
    <w:p>
      <w:pPr>
        <w:tabs>
          <w:tab w:pos="4513" w:val="center"/>
          <w:tab w:pos="9026" w:val="right"/>
        </w:tabs>
        <w:spacing w:line="360" w:lineRule="auto" w:before="120"/>
      </w:pPr>
      <w:r>
        <w:rPr>
          <w:rFonts w:ascii="Cambria Math" w:hAnsi="Cambria Math" w:eastAsia="Cambria Math"/>
          <w:b w:val="0"/>
          <w:sz w:val="24"/>
        </w:rPr>
        <w:tab/>
        <w:t>指数平滑：ŝ_t = α · x_t + (1 − α) · ŝ_(t−1)</w:t>
        <w:tab/>
        <w:t>（16）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对应正文「研究内容 3」"结合数据变化进行推演矿道情况变化趋势"。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第二部分  插图文字稿（共 13 张，含占位框）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图1【必】三端互联总体架构与技术路线图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落位：「技术路线、拟解决的问题及预期成果」→「1. 总体技术路线」（三层表之前或之后）。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【图1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14 cm × 高 9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图1  三端互联总体架构与技术路线图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图注：三层分别解决"测得到、传得出""算得准、管得住""看得见、判得明"，以标准化数据接口衔接，形成"感知—计算—决策—反馈"的完整闭环。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底层 硬件层：五类参量 → STM32 七路采集 → RS485 汇聚 → LoRa Mesh + 边缘网关 → MQTT/UDP 双通道；执行侧 OLED + 声光告警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中层 软件层：数据接入治理 → 13 维特征 → MCFLR → 四级分级 → 预警升级督办 → 报表/权限/审计（PostgreSQL + Redis + WebSocket 广播）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顶层 VR/大屏层：六图层云图、三维巷道、时间轴回放、应急方案推演、多端一致呈现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纵向接口：上行"统一主题与报文规范"；下行 /cmd、/thr、/status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底部环形箭头："感知—计算—决策—反馈"，箭头回到硬件层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右下角小框：三级协同（企业端 / 智库端 / 监管端）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图2【必】硬件系统总体框图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1」末 或「2.1 硬件层」开头。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【图2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14 cm × 高 7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图2  硬件系统总体框图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图注：硬件层完成"采集—汇集—回传—就地执行"四段流程，是预警闭环的执行末端而非单纯采集源。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第 1 段 感知单元：薄膜压力（支架阻力）｜超声波测距（顶板位移）｜应变片（锚杆载荷）｜投入式压力变送器（岩溶水压）｜电化学传感（MQ2/CO₂/SO₂）｜温湿度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第 2 段 调理与汇集：信号调理 + 标定系数表 → STM32 七路采集（weight / yewei / fsr / distance / mq2_adc / temp / humidity）→ RS485 / CAN / 4–20 mA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第 3 段 通信：串口 / ESP8266 → LoRa Mesh → 边缘网关 → MQTT（UDP 备份通道）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第 4 段 就地执行：OLED 就地显示 + 声光告警 + 接收阈值热更新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旁注：本安供电、低功耗休眠采集；巷道粉尘潮湿防护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图3【必】监测点位布设平面示意图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1」末（正文已写四组布设策略，配图最直观）。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【图3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15 cm × 高 7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图3  监测点位布设平面示意图（四组 11 个以上测点）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图注：按灾变类型分三层布设、不平均用力；岩溶区专项增设顶板钻孔承压水监测通道，水压与震动参量纳入耦合特征。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① 综采工作面中部 200 m 范围：支架阻力 + 顶板位移，测点间距 1.5 m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② 回采巷道：锚杆载荷，每 50 m 设一个测站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③ 岩溶发育区：顶板钻孔承压水监测通道（水压 + 震动参量）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④ 风流断面：环境量（温度、湿度、CO₂/SO₂）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底部链路标注：四组合计 11 个以上测点 → RS485 → 巷道口汇聚节点 → LoRa → 边缘网关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图例：不同参量用不同图形符号区分，标注巷道走向与工作面位置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图4【必】端到端数据流时序图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落位：「1. 总体技术路线」的"数据流主线"那段之后。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【图4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15 cm × 高 9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图4  端到端数据流时序图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图注：数据流主线为"传感器 → 边缘网关 → 双通道上行 → 软件层解析与推理 → 三端渲染 → 下行执行 → 数据回流"，构成完整闭环。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泳道划分：传感器 / 边缘网关 / 后端服务 / 三端与 VR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上行 ①采集 → ②RS485 汇总 → ③LoRa 上行 → ④MQTT 或 UDP 上行 → ⑤解析入库与缺失值处理 → ⑥时间对齐 + 13 维特征 → ⑦MCFLR 推理 → ⑧四级分级 + 预警升级状态机 → ⑨WebSocket/MQTT 广播 → ⑩孪生渲染与云图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下行：值班与专家研判 → 下达处置指令与阈值 → /cmd、/thr、/status → 硬件就地执行（阈值热更新、OLED/声光告警）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虚线回路：处置结果与真实数据回流 → 触发模型自动重训练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耗时标注：⑨ 广播 &lt; 1 s；端到端 T_total ≤ 5 s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图5【必】MCFLR 预警算法流程图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2」末 或「2.2 软件层 问题二」。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【图5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11 cm × 高 13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图5  MCFLR 预警算法流程图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图注：机理特征（耦合强度 / 广度）显式注入后进入逻辑回归判别，既保留力学机理的可解释性，又具备数据驱动自学习能力。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多源接入 → 清洗与缺失值处理 → 时间对齐 / 滑动窗口 → 13 维特征构建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→ 基准偏移归一化 → 耦合强度 S 与耦合广度 B 计算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→ 线性组合 z → sigmoid 得灾变概率 p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判定菱形：p ≥ T ？ 是 → 四级分级（蓝 / 黄 / 橙 / 红）→ 输出预警与归因（"风险来自哪条构造、哪层含水层"）→ 推送三端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否 → 返回正常监测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旁注：模型支持基于真实回流数据的重训练，增量超过 200 条自动触发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图6【建议】模型自动重训练流程图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2」末（"增量超过 200 条自动触发"处）。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【图6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12 cm × 高 10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图6  模型自动重训练流程图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图注：重训练全程不中断在线服务，参数持久化保存后热加载，用于改善现场适应性。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数据回流 → 增量样本计数 ΔN → 判定菱形：ΔN &gt; 200 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是 → 难负样本加权 + L2 正则训练 → 阈值扫描与评估（Acc / FPR / Recall）→ 判定菱形：是否达标？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达标 → 参数持久化 → 热加载上线；不达标 → 回退保留旧参数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闭环虚线回到"数据回流"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图7【建议】分级预警与处置状态机图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落位：「2.2 软件层」或「3.3 功能成果（2）」。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【图7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13 cm × 高 7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图7  分级预警与处置状态机图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图注：预警升级状态机贯通企业端值守、智库端评审、监管端督办三类业务动作。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状态：正常（蓝）→ 黄色预警 → 橙色预警 → 红色预警 → 处置中 → 已处置 → 复核 → 闭环归档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转移条件：概率跨级、处置超时未闭环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超时未处置 → 自动升级督办（跳转到更高一级并通知监管端）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标注每步的责任端：企业端处置、监管端督办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图8【建议】三端（三级）协同业务流程图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4」（标准化数据接口与三级协同管控）。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【图8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15 cm × 高 8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图8  三端（三级）协同业务流程图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图注：三级主体在同一孪生场景上分工联动，顶板管理从"被动防治"转向"主动透明防控"。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泳道一 企业端：监测值守、现场处置、处置结果上报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泳道二 智库端：模型优化、机理研判、阈值评审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泳道三 监管端：跨矿汇总、预警升级督办、统计考核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交汇节点统一标注：同一孪生场景 / 统一数据标准 / 预警流转与阈值下发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图9【建议】三端 RBAC 权限矩阵图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4」（可与图8 合并为一图两栏）。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【图9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13 cm × 高 5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图9  三端 RBAC 权限矩阵图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图注：权限按 RBAC 分级，配合验证码、多层限流与审计留痕，实现分角色授权与操作可追溯。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纵轴（角色）：企业端 / 智库端 / 监管端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横轴（功能）：实时监测、预警处置、阈值配置、模型评审、跨矿汇总、报表、用户管理、审计查询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格内标注 √ 表示该角色可操作，— 表示禁止；可用表格形式直接呈现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图10【建议】网络通信与安全拓扑图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4」末 或「2.4 三层贯通」。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【图10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14 cm × 高 7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图10  网络通信与安全拓扑图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图注：MQTT 与 UDP 双通道互为备份；下行主题承担阈值热更新与就地告警指令，链路可靠由 retain 与遗嘱消息保障。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边缘网关 →（MQTT 加密通道：QoS 1 / retain / 遗嘱消息）+（UDP 备份通道）→ 后端服务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后端服务安全能力：RBAC 分角色授权 + 验证码 + 多层限流 + 审计留痕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数据层：PostgreSQL（时序与归档）+ Redis（缓存，不可用时内存降级）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WebSocket 广播 → 综合态势大屏 / Web 三端 / 鸿蒙移动端 / VR 端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VR 端经 UDP 双向通道，与硬件同构上下行数据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图11【建议】数字孪生六图层与交互推演流程图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落位：「研究内容 3」或「创新点 4」。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【图11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14 cm × 高 8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图11  数字孪生六图层与交互推演流程图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图注：把顶板失稳从数表里的数字变成肉眼可见的演化过程，支撑多方联合研判。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六图层并列：矿山总览｜应力场｜位移场｜地质构造｜监测网络｜预警点位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交互链：长按测点 → 数值爬升动画 → 关联云图连锁扩张 → 地质素描卡关联 → 时间轴回放 →"如果—怎样"式应急方案推演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链路动画：LoRa 报文从测点经网关上行的全链路逐帧还原，通信拓扑与数据流同步可视化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图12【可选】多端一致渲染与降级流程图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落位：「2.3 VR/大屏层 问题二」。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【图12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12 cm × 高 6 cm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图12  多端一致渲染与降级流程图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图注：针对统信 / Deepin 等环境的软件渲染与字体差异，统一数据渲染层保证多端一致并保留降级路径。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渲染能力探测 → 判定菱形：WebGL 可用？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是 → WebGL 三维云图切片与三维巷道；否 → SVG 二维降级路径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统一数据渲染层 → 大屏 / Web / 鸿蒙 / VR 四端同源同现</w:t>
      </w:r>
    </w:p>
    <w:p>
      <w:pPr>
        <w:spacing w:before="160" w:line="360" w:lineRule="auto"/>
      </w:pPr>
      <w:r>
        <w:rPr>
          <w:rFonts w:ascii="黑体" w:hAnsi="黑体" w:eastAsia="黑体"/>
          <w:b/>
          <w:sz w:val="24"/>
        </w:rPr>
        <w:t>图13【必】系统实物与运行截图组图（同时填补"已有基础"空白）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落位：「已有基础」整节 —— 该节目前为空白，放图既补图也补空白。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/>
        </w:trPr>
        <w:tc>
          <w:tcPr>
            <w:tcW w:type="dxa" w:w="9026"/>
          </w:tcPr>
          <w:p>
            <w:pPr>
              <w:spacing w:line="360" w:lineRule="auto"/>
              <w:jc w:val="center"/>
            </w:pPr>
            <w:r>
              <w:rPr>
                <w:rFonts w:ascii="仿宋" w:hAnsi="仿宋" w:eastAsia="仿宋"/>
                <w:b/>
                <w:color w:val="A0A0A0"/>
                <w:sz w:val="28"/>
              </w:rPr>
              <w:t>【图13 占位框】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建议尺寸：宽 15 cm × 高 10 cm（六宫格）</w:t>
            </w:r>
          </w:p>
          <w:p>
            <w:pPr>
              <w:jc w:val="center"/>
            </w:pPr>
            <w:r>
              <w:rPr>
                <w:rFonts w:ascii="仿宋" w:hAnsi="仿宋" w:eastAsia="仿宋"/>
                <w:b w:val="0"/>
                <w:color w:val="A0A0A0"/>
                <w:sz w:val="21"/>
              </w:rPr>
              <w:t>（插入图片后请删除本占位框）</w:t>
            </w:r>
          </w:p>
        </w:tc>
      </w:tr>
    </w:tbl>
    <w:p>
      <w:pPr>
        <w:spacing w:after="80"/>
        <w:jc w:val="center"/>
      </w:pPr>
      <w:r>
        <w:rPr>
          <w:rFonts w:ascii="仿宋" w:hAnsi="仿宋" w:eastAsia="仿宋"/>
          <w:b/>
          <w:sz w:val="21"/>
        </w:rPr>
        <w:t>图13  系统实物与运行截图组图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图注：对应「3.3 功能成果」三项功能，说明硬件与平台均已实物贯通、可现场演示。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color w:val="595959"/>
          <w:sz w:val="21"/>
        </w:rPr>
        <w:t>绘制要素：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(a) 监测终端样机：STM32 + ESP8266 + 传感器 + OLED 就地显示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(b) 就地声光告警动作实拍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(c) 企业端实时监测页面截图（含矿井筛选与实时数值卡片）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(d) 综合态势大屏截图（六图层云图）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(e) 鸿蒙移动端界面截图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(f) VR 端双向交互面板截图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595959"/>
          <w:sz w:val="21"/>
        </w:rPr>
        <w:t>· 每张子图下方标注 (a)(b)(c)… 编号，组图统一图题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第三部分  建议补充的表格（共 2 张）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color w:val="993300"/>
          <w:sz w:val="21"/>
        </w:rPr>
        <w:t>现有"层次—定位—研究内容—关键技术"表建议统一编号为「表1」，以下两张顺延为表2、表3。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表2  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层次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选型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选型理由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硬件层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采集与通信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STM32 多路采集 + RS485 / CAN / 4–20 mA + LoRa Mesh + 边缘网关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井下低功耗、抗遮挡，兼容存量监测设备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软件层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服务与存储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Node.js + Express + PostgreSQL + Redis + MQTT（QoS 1 / retain / 遗嘱）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时序与归档一体化，缓存不可用时自动降级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软件层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预警算法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13 维机理—数据融合特征 + 逻辑回归 + L2 正则 + 自动重训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纯 JS 实现可下沉边缘网关，系数可解释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VR/大屏层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渲染与交互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SVG / WebGL 数字孪生 + 六图层云图 + WebSocket 广播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弱渲染环境自动降级二维，多端同源同现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移动与沉浸端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终端适配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鸿蒙 ArkTS + VR 端 UDP 双向通道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国产化适配，与硬件同构上下行</w:t>
            </w:r>
          </w:p>
        </w:tc>
      </w:tr>
    </w:tbl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表3  核心模块功能与技术支撑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功能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技术支撑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/>
                <w:sz w:val="21"/>
              </w:rPr>
              <w:t>对应成果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全域感知模块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五类参量采集与 LoRa 回传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STM32 七路采集、实物标定系数表、LoRa Mesh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3.3（1）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预警计算模块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灾变概率计算与四级分级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13 维特征、MCFLR、L2 正则、自动重训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3.1（1）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管控业务模块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预警升级督办与三端协同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RBAC、限流、审计留痕、分析报表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3.3（2）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数字孪生模块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六图层云图与推演回放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SVG / WebGL、时间轴回放、链路拓扑动画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3.3（3）</w:t>
            </w:r>
          </w:p>
        </w:tc>
      </w:tr>
      <w:tr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接口与集成模块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MQTT / REST / WebSocket 统一接入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统一主题体系、报文契约、契约测试</w:t>
            </w:r>
          </w:p>
        </w:tc>
        <w:tc>
          <w:tcPr>
            <w:tcW w:type="dxa" w:w="2256"/>
          </w:tcPr>
          <w:p>
            <w:pPr>
              <w:spacing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3.1（3）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第四部分  格式规范与交稿前检查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一、编号与排版规范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1. 图题居中放在图下方，格式为「图N  图题」；表题居中放在表上方，格式为「表N  表题」。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2. 公式居中排版，编号右对齐为「（N）」；正文引用统一写"如式（N）所示"。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3. 图、表、公式各自按出现顺序连续编号；所有图插入后删除占位框。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4. 全文小四号仿宋、1.5 倍行距，A4 双面打印、左侧装订。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5. 图配色建议统一为深岩灰底 + 矿工橙主色（与平台界面一致），不使用霓虹色与发光效果。</w:t>
      </w:r>
    </w:p>
    <w:p>
      <w:pPr>
        <w:spacing w:line="360" w:lineRule="auto"/>
        <w:ind w:firstLine="480"/>
      </w:pPr>
      <w:r>
        <w:rPr>
          <w:rFonts w:ascii="仿宋" w:hAnsi="仿宋" w:eastAsia="仿宋"/>
          <w:b/>
          <w:sz w:val="24"/>
        </w:rPr>
        <w:t>二、交稿前检查清单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图1、图4、图5 已完成（评审最先看技术路线与算法）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式（8）（9）（10）（13）已插入并与正文措辞一致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图13 已放入「已有基础」，该节空白已填写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全文图表公式编号连续、无重号漏号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封面起止年月与填写须知要求（2026 年 11 月至 2027 年 5 月）一致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项目起止时间、项目来源等空白项已按须知填写，空缺项填"无"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□ 负责人科研情况、指导教师课题与支持情况、竞赛获奖情况已填写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