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C6640">
      <w:pPr>
        <w:pStyle w:val="7"/>
        <w:spacing w:line="600" w:lineRule="exact"/>
        <w:rPr>
          <w:rFonts w:hint="eastAsia" w:cs="方正小标宋简体" w:asciiTheme="majorEastAsia" w:hAnsiTheme="majorEastAsia" w:eastAsiaTheme="majorEastAsia"/>
          <w:kern w:val="2"/>
          <w:lang w:bidi="ar"/>
        </w:rPr>
      </w:pPr>
      <w:r>
        <w:rPr>
          <w:rFonts w:hint="eastAsia" w:cs="方正小标宋简体" w:asciiTheme="majorEastAsia" w:hAnsiTheme="majorEastAsia" w:eastAsiaTheme="majorEastAsia"/>
          <w:kern w:val="2"/>
          <w:lang w:bidi="ar"/>
        </w:rPr>
        <w:t>附件1-1</w:t>
      </w:r>
    </w:p>
    <w:p w14:paraId="798B7113">
      <w:pPr>
        <w:pStyle w:val="7"/>
        <w:spacing w:line="600" w:lineRule="exact"/>
        <w:rPr>
          <w:rFonts w:hint="eastAsia" w:cs="方正小标宋简体" w:asciiTheme="majorEastAsia" w:hAnsiTheme="majorEastAsia" w:eastAsiaTheme="majorEastAsia"/>
          <w:kern w:val="2"/>
          <w:lang w:bidi="ar"/>
        </w:rPr>
      </w:pPr>
    </w:p>
    <w:p w14:paraId="757DDF35">
      <w:pPr>
        <w:pStyle w:val="7"/>
        <w:spacing w:line="600" w:lineRule="exact"/>
        <w:jc w:val="center"/>
        <w:rPr>
          <w:rFonts w:hint="eastAsia"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福建师范大学协和学院</w:t>
      </w:r>
    </w:p>
    <w:p w14:paraId="78E8F773">
      <w:pPr>
        <w:pStyle w:val="7"/>
        <w:spacing w:line="600" w:lineRule="exact"/>
        <w:jc w:val="center"/>
        <w:rPr>
          <w:rFonts w:hint="eastAsia"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大学生创新训练项目申报书</w:t>
      </w:r>
    </w:p>
    <w:p w14:paraId="1C69F915">
      <w:pPr>
        <w:rPr>
          <w:rFonts w:hint="eastAsia" w:ascii="宋体" w:hAnsi="宋体"/>
          <w:color w:val="000000"/>
          <w:sz w:val="29"/>
        </w:rPr>
      </w:pPr>
    </w:p>
    <w:p w14:paraId="28854950">
      <w:pPr>
        <w:tabs>
          <w:tab w:val="left" w:pos="7800"/>
        </w:tabs>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项目编号</w:t>
      </w:r>
      <w:r>
        <w:rPr>
          <w:rFonts w:hint="eastAsia" w:ascii="黑体" w:hAnsi="宋体" w:eastAsia="黑体"/>
          <w:color w:val="000000"/>
          <w:sz w:val="30"/>
          <w:szCs w:val="30"/>
          <w:u w:val="single"/>
        </w:rPr>
        <w:t xml:space="preserve">                                    </w:t>
      </w:r>
    </w:p>
    <w:p w14:paraId="1C5A3BC3">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项目名称</w:t>
      </w:r>
      <w:r>
        <w:rPr>
          <w:rFonts w:hint="eastAsia" w:ascii="黑体" w:hAnsi="宋体" w:eastAsia="黑体"/>
          <w:color w:val="000000"/>
          <w:sz w:val="30"/>
          <w:szCs w:val="30"/>
          <w:u w:val="single"/>
        </w:rPr>
        <w:t xml:space="preserve"> 底芯星巡——煤矿顶板数字孪生智能防控平台</w:t>
      </w:r>
    </w:p>
    <w:p w14:paraId="4CB35612">
      <w:pPr>
        <w:spacing w:line="760" w:lineRule="exact"/>
        <w:ind w:firstLine="600" w:firstLineChars="200"/>
        <w:rPr>
          <w:rFonts w:hint="eastAsia" w:ascii="黑体" w:hAnsi="宋体" w:eastAsia="黑体"/>
          <w:color w:val="000000"/>
          <w:sz w:val="30"/>
          <w:szCs w:val="30"/>
          <w:u w:val="single"/>
          <w:lang w:val="en-US" w:eastAsia="zh-CN"/>
        </w:rPr>
      </w:pPr>
      <w:r>
        <w:rPr>
          <w:rFonts w:hint="eastAsia" w:ascii="黑体" w:hAnsi="宋体" w:eastAsia="黑体"/>
          <w:color w:val="000000"/>
          <w:sz w:val="30"/>
          <w:szCs w:val="30"/>
        </w:rPr>
        <w:t>项目负责人</w:t>
      </w:r>
      <w:r>
        <w:rPr>
          <w:rFonts w:hint="eastAsia" w:ascii="黑体" w:hAnsi="宋体" w:eastAsia="黑体"/>
          <w:color w:val="000000"/>
          <w:sz w:val="30"/>
          <w:szCs w:val="30"/>
          <w:u w:val="single"/>
        </w:rPr>
        <w:t xml:space="preserve">   章登辉   </w:t>
      </w:r>
      <w:r>
        <w:rPr>
          <w:rFonts w:hint="eastAsia" w:ascii="黑体" w:hAnsi="宋体" w:eastAsia="黑体"/>
          <w:color w:val="000000"/>
          <w:sz w:val="30"/>
          <w:szCs w:val="30"/>
        </w:rPr>
        <w:t>联系电话</w:t>
      </w:r>
      <w:r>
        <w:rPr>
          <w:rFonts w:hint="eastAsia" w:ascii="黑体" w:hAnsi="宋体" w:eastAsia="黑体"/>
          <w:b/>
          <w:color w:val="000000"/>
          <w:sz w:val="30"/>
          <w:szCs w:val="30"/>
          <w:u w:val="single"/>
        </w:rPr>
        <w:t xml:space="preserve"> 19285936686 </w:t>
      </w:r>
      <w:r>
        <w:rPr>
          <w:rFonts w:hint="eastAsia" w:ascii="黑体" w:hAnsi="宋体" w:eastAsia="黑体"/>
          <w:b/>
          <w:color w:val="000000"/>
          <w:sz w:val="30"/>
          <w:szCs w:val="30"/>
          <w:u w:val="single"/>
          <w:lang w:val="en-US" w:eastAsia="zh-CN"/>
        </w:rPr>
        <w:t xml:space="preserve"> </w:t>
      </w:r>
    </w:p>
    <w:p w14:paraId="16F9CD27">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所在系</w:t>
      </w:r>
      <w:r>
        <w:rPr>
          <w:rFonts w:ascii="黑体" w:hAnsi="宋体" w:eastAsia="黑体"/>
          <w:color w:val="000000"/>
          <w:sz w:val="30"/>
          <w:szCs w:val="30"/>
        </w:rPr>
        <w:t>别</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信息技术系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08401821">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学    号</w:t>
      </w:r>
      <w:r>
        <w:rPr>
          <w:rFonts w:hint="eastAsia" w:ascii="黑体" w:hAnsi="宋体" w:eastAsia="黑体"/>
          <w:color w:val="000000"/>
          <w:sz w:val="30"/>
          <w:szCs w:val="30"/>
          <w:u w:val="single"/>
        </w:rPr>
        <w:t xml:space="preserve"> 1241120240</w:t>
      </w:r>
      <w:r>
        <w:rPr>
          <w:rFonts w:hint="eastAsia" w:ascii="黑体" w:hAnsi="宋体" w:eastAsia="黑体"/>
          <w:color w:val="000000"/>
          <w:sz w:val="30"/>
          <w:szCs w:val="30"/>
          <w:u w:val="single"/>
          <w:lang w:val="en-US" w:eastAsia="zh-CN"/>
        </w:rPr>
        <w:t>64</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rPr>
        <w:t>专业班级</w:t>
      </w:r>
      <w:r>
        <w:rPr>
          <w:rFonts w:hint="eastAsia" w:ascii="黑体" w:hAnsi="宋体" w:eastAsia="黑体"/>
          <w:color w:val="000000"/>
          <w:sz w:val="30"/>
          <w:szCs w:val="30"/>
          <w:lang w:val="en-US" w:eastAsia="zh-CN"/>
        </w:rPr>
        <w:t xml:space="preserve"> </w:t>
      </w:r>
      <w:r>
        <w:rPr>
          <w:rFonts w:hint="eastAsia" w:ascii="黑体" w:hAnsi="宋体" w:eastAsia="黑体"/>
          <w:color w:val="000000"/>
          <w:sz w:val="30"/>
          <w:szCs w:val="30"/>
          <w:u w:val="single"/>
        </w:rPr>
        <w:t xml:space="preserve">计算机科学与技术2班  </w:t>
      </w:r>
    </w:p>
    <w:p w14:paraId="1DEA5DFE">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指导教师</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林昌意，欧静            </w:t>
      </w:r>
    </w:p>
    <w:p w14:paraId="43248EFF">
      <w:pPr>
        <w:spacing w:line="760" w:lineRule="exact"/>
        <w:ind w:firstLine="624" w:firstLineChars="150"/>
        <w:rPr>
          <w:rFonts w:hint="eastAsia" w:ascii="黑体" w:hAnsi="宋体" w:eastAsia="黑体"/>
          <w:color w:val="000000"/>
          <w:sz w:val="30"/>
          <w:szCs w:val="30"/>
          <w:u w:val="single"/>
        </w:rPr>
      </w:pPr>
      <w:r>
        <w:rPr>
          <w:rFonts w:hint="eastAsia" w:ascii="黑体" w:hAnsi="宋体" w:eastAsia="黑体"/>
          <w:spacing w:val="58"/>
          <w:sz w:val="30"/>
          <w:szCs w:val="30"/>
        </w:rPr>
        <w:t xml:space="preserve">E-mail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lang w:val="en-US" w:eastAsia="zh-CN"/>
        </w:rPr>
        <w:t>2265329208@qq.com</w:t>
      </w:r>
      <w:r>
        <w:rPr>
          <w:rFonts w:hint="eastAsia" w:ascii="黑体" w:hAnsi="宋体" w:eastAsia="黑体"/>
          <w:color w:val="000000"/>
          <w:sz w:val="30"/>
          <w:szCs w:val="30"/>
          <w:u w:val="single"/>
        </w:rPr>
        <w:t xml:space="preserve">         </w:t>
      </w:r>
    </w:p>
    <w:p w14:paraId="6C8EAF8A">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申请日期</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2026年</w:t>
      </w:r>
      <w:r>
        <w:rPr>
          <w:rFonts w:hint="eastAsia" w:ascii="黑体" w:hAnsi="宋体" w:eastAsia="黑体"/>
          <w:color w:val="000000"/>
          <w:sz w:val="30"/>
          <w:szCs w:val="30"/>
          <w:u w:val="single"/>
          <w:lang w:val="en-US" w:eastAsia="zh-CN"/>
        </w:rPr>
        <w:t>9</w:t>
      </w:r>
      <w:r>
        <w:rPr>
          <w:rFonts w:hint="eastAsia" w:ascii="黑体" w:hAnsi="宋体" w:eastAsia="黑体"/>
          <w:color w:val="000000"/>
          <w:sz w:val="30"/>
          <w:szCs w:val="30"/>
          <w:u w:val="single"/>
        </w:rPr>
        <w:t>月</w:t>
      </w:r>
      <w:r>
        <w:rPr>
          <w:rFonts w:hint="eastAsia" w:ascii="黑体" w:hAnsi="宋体" w:eastAsia="黑体"/>
          <w:color w:val="000000"/>
          <w:sz w:val="30"/>
          <w:szCs w:val="30"/>
          <w:u w:val="single"/>
          <w:lang w:val="en-US" w:eastAsia="zh-CN"/>
        </w:rPr>
        <w:t>26</w:t>
      </w:r>
      <w:r>
        <w:rPr>
          <w:rFonts w:hint="eastAsia" w:ascii="黑体" w:hAnsi="宋体" w:eastAsia="黑体"/>
          <w:color w:val="000000"/>
          <w:sz w:val="30"/>
          <w:szCs w:val="30"/>
          <w:u w:val="single"/>
        </w:rPr>
        <w:t xml:space="preserve">日         </w:t>
      </w:r>
    </w:p>
    <w:p w14:paraId="38F13858">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起止年月</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202</w:t>
      </w:r>
      <w:r>
        <w:rPr>
          <w:rFonts w:hint="eastAsia" w:ascii="黑体" w:hAnsi="宋体" w:eastAsia="黑体"/>
          <w:color w:val="000000"/>
          <w:sz w:val="30"/>
          <w:szCs w:val="30"/>
          <w:u w:val="single"/>
          <w:lang w:val="en-US" w:eastAsia="zh-CN"/>
        </w:rPr>
        <w:t>6</w:t>
      </w:r>
      <w:r>
        <w:rPr>
          <w:rFonts w:hint="eastAsia" w:ascii="黑体" w:hAnsi="宋体" w:eastAsia="黑体"/>
          <w:color w:val="000000"/>
          <w:sz w:val="30"/>
          <w:szCs w:val="30"/>
          <w:u w:val="single"/>
        </w:rPr>
        <w:t>年</w:t>
      </w:r>
      <w:r>
        <w:rPr>
          <w:rFonts w:hint="eastAsia" w:ascii="黑体" w:hAnsi="宋体" w:eastAsia="黑体"/>
          <w:color w:val="000000"/>
          <w:sz w:val="30"/>
          <w:szCs w:val="30"/>
          <w:u w:val="single"/>
          <w:lang w:val="en-US" w:eastAsia="zh-CN"/>
        </w:rPr>
        <w:t>9</w:t>
      </w:r>
      <w:r>
        <w:rPr>
          <w:rFonts w:hint="eastAsia" w:ascii="黑体" w:hAnsi="宋体" w:eastAsia="黑体"/>
          <w:color w:val="000000"/>
          <w:sz w:val="30"/>
          <w:szCs w:val="30"/>
          <w:u w:val="single"/>
        </w:rPr>
        <w:t>月至2027年</w:t>
      </w:r>
      <w:r>
        <w:rPr>
          <w:rFonts w:hint="eastAsia" w:ascii="黑体" w:hAnsi="宋体" w:eastAsia="黑体"/>
          <w:color w:val="000000"/>
          <w:sz w:val="30"/>
          <w:szCs w:val="30"/>
          <w:u w:val="single"/>
          <w:lang w:val="en-US" w:eastAsia="zh-CN"/>
        </w:rPr>
        <w:t>4</w:t>
      </w:r>
      <w:r>
        <w:rPr>
          <w:rFonts w:hint="eastAsia" w:ascii="黑体" w:hAnsi="宋体" w:eastAsia="黑体"/>
          <w:color w:val="000000"/>
          <w:sz w:val="30"/>
          <w:szCs w:val="30"/>
          <w:u w:val="single"/>
        </w:rPr>
        <w:t>月</w:t>
      </w:r>
      <w:r>
        <w:rPr>
          <w:rFonts w:hint="eastAsia" w:ascii="黑体" w:hAnsi="宋体" w:eastAsia="黑体"/>
          <w:color w:val="000000"/>
          <w:sz w:val="30"/>
          <w:szCs w:val="30"/>
          <w:u w:val="single"/>
        </w:rPr>
        <w:t xml:space="preserve">     </w:t>
      </w:r>
    </w:p>
    <w:p w14:paraId="190B6183">
      <w:pPr>
        <w:tabs>
          <w:tab w:val="center" w:pos="4153"/>
          <w:tab w:val="left" w:pos="5745"/>
        </w:tabs>
        <w:spacing w:before="1560" w:line="240" w:lineRule="exact"/>
        <w:jc w:val="left"/>
        <w:rPr>
          <w:rFonts w:hint="eastAsia"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福建师范大学协和学院创新创业</w:t>
      </w:r>
      <w:r>
        <w:rPr>
          <w:rFonts w:ascii="黑体" w:hAnsi="宋体" w:eastAsia="黑体"/>
          <w:sz w:val="30"/>
          <w:szCs w:val="30"/>
        </w:rPr>
        <w:t>学院</w:t>
      </w:r>
      <w:r>
        <w:rPr>
          <w:rFonts w:hint="eastAsia" w:ascii="黑体" w:hAnsi="宋体" w:eastAsia="黑体"/>
          <w:sz w:val="30"/>
          <w:szCs w:val="30"/>
        </w:rPr>
        <w:tab/>
      </w:r>
    </w:p>
    <w:p w14:paraId="64A89463">
      <w:pPr>
        <w:jc w:val="center"/>
        <w:rPr>
          <w:rFonts w:hint="eastAsia" w:ascii="黑体" w:hAnsi="宋体" w:eastAsia="黑体"/>
          <w:sz w:val="30"/>
          <w:szCs w:val="30"/>
        </w:rPr>
      </w:pPr>
      <w:r>
        <w:rPr>
          <w:rFonts w:hint="eastAsia" w:ascii="黑体" w:hAnsi="宋体" w:eastAsia="黑体"/>
          <w:sz w:val="30"/>
          <w:szCs w:val="30"/>
        </w:rPr>
        <w:t>二〇二六年九月</w:t>
      </w:r>
    </w:p>
    <w:p w14:paraId="325183D7">
      <w:pPr>
        <w:jc w:val="center"/>
        <w:rPr>
          <w:rFonts w:eastAsia="楷体_GB2312"/>
          <w:b/>
          <w:bCs/>
          <w:sz w:val="44"/>
        </w:rPr>
      </w:pPr>
      <w:r>
        <w:rPr>
          <w:b/>
          <w:sz w:val="36"/>
          <w:szCs w:val="36"/>
        </w:rPr>
        <w:br w:type="page"/>
      </w:r>
      <w:r>
        <w:rPr>
          <w:rFonts w:hint="eastAsia" w:eastAsia="楷体_GB2312"/>
          <w:b/>
          <w:bCs/>
          <w:sz w:val="44"/>
        </w:rPr>
        <w:t>填</w:t>
      </w:r>
      <w:r>
        <w:rPr>
          <w:rFonts w:eastAsia="楷体_GB2312"/>
          <w:b/>
          <w:bCs/>
          <w:sz w:val="44"/>
        </w:rPr>
        <w:t xml:space="preserve"> </w:t>
      </w:r>
      <w:r>
        <w:rPr>
          <w:rFonts w:hint="eastAsia" w:eastAsia="楷体_GB2312"/>
          <w:b/>
          <w:bCs/>
          <w:sz w:val="44"/>
        </w:rPr>
        <w:t>写</w:t>
      </w:r>
      <w:r>
        <w:rPr>
          <w:rFonts w:eastAsia="楷体_GB2312"/>
          <w:b/>
          <w:bCs/>
          <w:sz w:val="44"/>
        </w:rPr>
        <w:t xml:space="preserve"> </w:t>
      </w:r>
      <w:r>
        <w:rPr>
          <w:rFonts w:hint="eastAsia" w:eastAsia="楷体_GB2312"/>
          <w:b/>
          <w:bCs/>
          <w:sz w:val="44"/>
        </w:rPr>
        <w:t>须</w:t>
      </w:r>
      <w:r>
        <w:rPr>
          <w:rFonts w:eastAsia="楷体_GB2312"/>
          <w:b/>
          <w:bCs/>
          <w:sz w:val="44"/>
        </w:rPr>
        <w:t xml:space="preserve"> </w:t>
      </w:r>
      <w:r>
        <w:rPr>
          <w:rFonts w:hint="eastAsia" w:eastAsia="楷体_GB2312"/>
          <w:b/>
          <w:bCs/>
          <w:sz w:val="44"/>
        </w:rPr>
        <w:t>知</w:t>
      </w:r>
    </w:p>
    <w:p w14:paraId="7C3B9BD4">
      <w:pPr>
        <w:jc w:val="center"/>
        <w:rPr>
          <w:rFonts w:eastAsia="楷体_GB2312"/>
          <w:b/>
          <w:bCs/>
          <w:sz w:val="36"/>
        </w:rPr>
      </w:pPr>
    </w:p>
    <w:p w14:paraId="15D61439">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一、项目分类说明：</w:t>
      </w:r>
    </w:p>
    <w:p w14:paraId="50D27A17">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1.创新训练项目是本科生个人或团队，在校内导师指导下，自主完成创新性实验方法的设计、设备和材料的准备、实验的实施、数据处理与分析、总结报告撰写等工作。</w:t>
      </w:r>
    </w:p>
    <w:p w14:paraId="35A2A4B7">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3B95CA96">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7C89A89E">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二、项目编号先不填，项目起止年月填写202</w:t>
      </w:r>
      <w:r>
        <w:rPr>
          <w:rFonts w:hint="eastAsia" w:ascii="仿宋_GB2312" w:eastAsia="仿宋_GB2312"/>
          <w:sz w:val="28"/>
          <w:szCs w:val="28"/>
          <w:lang w:val="en-US" w:eastAsia="zh-CN"/>
        </w:rPr>
        <w:t>6</w:t>
      </w:r>
      <w:r>
        <w:rPr>
          <w:rFonts w:hint="eastAsia" w:ascii="仿宋_GB2312" w:eastAsia="仿宋_GB2312"/>
          <w:sz w:val="28"/>
          <w:szCs w:val="28"/>
        </w:rPr>
        <w:t>年11月至2027年5月。</w:t>
      </w:r>
    </w:p>
    <w:p w14:paraId="4816A438">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三、申报书请按顺序逐项填写，填写内容必须实事求是，表达明确严谨。空缺项要填“无”。</w:t>
      </w:r>
    </w:p>
    <w:p w14:paraId="27A6C4B3">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四、申请参加大学生创新创业训练计划项目团队的人数含负责人在内不得超过5人。</w:t>
      </w:r>
    </w:p>
    <w:p w14:paraId="43D4BE06">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五、表格中的字体小四号仿宋体，1.5倍行距；需签字部分由相关人员以黑色钢笔或水笔签名。均用A4纸双面打印，于左侧装订成册。</w:t>
      </w:r>
    </w:p>
    <w:p w14:paraId="538AD275">
      <w:pPr>
        <w:rPr>
          <w:rFonts w:hint="eastAsia" w:ascii="仿宋_GB2312" w:hAnsi="宋体" w:eastAsia="仿宋_GB2312"/>
          <w:bCs/>
          <w:color w:val="000000"/>
          <w:sz w:val="30"/>
          <w:szCs w:val="30"/>
        </w:rPr>
      </w:pPr>
    </w:p>
    <w:p w14:paraId="0FB8AA06">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ascii="黑体" w:hAnsi="宋体" w:eastAsia="黑体"/>
          <w:sz w:val="28"/>
        </w:rPr>
        <w:br w:type="page"/>
      </w:r>
      <w:r>
        <w:rPr>
          <w:rFonts w:hint="eastAsia" w:eastAsia="黑体"/>
          <w:bCs/>
          <w:sz w:val="28"/>
        </w:rPr>
        <w:t>基本情况</w:t>
      </w:r>
    </w:p>
    <w:tbl>
      <w:tblPr>
        <w:tblStyle w:val="8"/>
        <w:tblW w:w="8820" w:type="dxa"/>
        <w:tblInd w:w="2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20"/>
        <w:gridCol w:w="420"/>
        <w:gridCol w:w="960"/>
        <w:gridCol w:w="575"/>
        <w:gridCol w:w="460"/>
        <w:gridCol w:w="405"/>
        <w:gridCol w:w="15"/>
        <w:gridCol w:w="525"/>
        <w:gridCol w:w="735"/>
        <w:gridCol w:w="315"/>
        <w:gridCol w:w="210"/>
        <w:gridCol w:w="840"/>
        <w:gridCol w:w="945"/>
        <w:gridCol w:w="195"/>
        <w:gridCol w:w="15"/>
        <w:gridCol w:w="1785"/>
      </w:tblGrid>
      <w:tr w14:paraId="6CF65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6" w:space="0"/>
              <w:left w:val="single" w:color="auto" w:sz="6" w:space="0"/>
              <w:bottom w:val="single" w:color="auto" w:sz="4" w:space="0"/>
              <w:right w:val="single" w:color="auto" w:sz="4" w:space="0"/>
            </w:tcBorders>
            <w:vAlign w:val="center"/>
          </w:tcPr>
          <w:p w14:paraId="3A5F61A6">
            <w:pPr>
              <w:jc w:val="center"/>
              <w:rPr>
                <w:sz w:val="24"/>
              </w:rPr>
            </w:pPr>
            <w:r>
              <w:rPr>
                <w:rFonts w:hint="eastAsia"/>
                <w:sz w:val="24"/>
              </w:rPr>
              <w:t>项目</w:t>
            </w:r>
          </w:p>
          <w:p w14:paraId="7832035B">
            <w:pPr>
              <w:spacing w:line="240" w:lineRule="exact"/>
              <w:jc w:val="center"/>
              <w:rPr>
                <w:sz w:val="24"/>
              </w:rPr>
            </w:pPr>
            <w:r>
              <w:rPr>
                <w:rFonts w:hint="eastAsia"/>
                <w:sz w:val="24"/>
              </w:rPr>
              <w:t>名称</w:t>
            </w:r>
          </w:p>
        </w:tc>
        <w:tc>
          <w:tcPr>
            <w:tcW w:w="7980" w:type="dxa"/>
            <w:gridSpan w:val="14"/>
            <w:tcBorders>
              <w:top w:val="single" w:color="auto" w:sz="6" w:space="0"/>
              <w:left w:val="nil"/>
              <w:right w:val="single" w:color="auto" w:sz="6" w:space="0"/>
            </w:tcBorders>
            <w:vAlign w:val="center"/>
          </w:tcPr>
          <w:p w14:paraId="31B7A309">
            <w:pPr>
              <w:jc w:val="center"/>
              <w:rPr>
                <w:rFonts w:ascii="楷体_GB2312" w:eastAsia="楷体_GB2312"/>
                <w:sz w:val="24"/>
              </w:rPr>
            </w:pPr>
            <w:r>
              <w:rPr>
                <w:rFonts w:hint="eastAsia" w:ascii="楷体_GB2312" w:eastAsia="楷体_GB2312"/>
                <w:sz w:val="24"/>
              </w:rPr>
              <w:t>底芯星巡——煤矿顶板数字孪生智能防控平台</w:t>
            </w:r>
          </w:p>
        </w:tc>
      </w:tr>
      <w:tr w14:paraId="673478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4154E83F">
            <w:pPr>
              <w:jc w:val="center"/>
              <w:rPr>
                <w:sz w:val="24"/>
              </w:rPr>
            </w:pPr>
            <w:r>
              <w:rPr>
                <w:rFonts w:hint="eastAsia"/>
                <w:sz w:val="24"/>
              </w:rPr>
              <w:t>所属</w:t>
            </w:r>
          </w:p>
          <w:p w14:paraId="715E81F0">
            <w:pPr>
              <w:jc w:val="center"/>
              <w:rPr>
                <w:sz w:val="24"/>
              </w:rPr>
            </w:pPr>
            <w:r>
              <w:rPr>
                <w:rFonts w:hint="eastAsia"/>
                <w:sz w:val="24"/>
              </w:rPr>
              <w:t>学科</w:t>
            </w:r>
          </w:p>
        </w:tc>
        <w:tc>
          <w:tcPr>
            <w:tcW w:w="1995" w:type="dxa"/>
            <w:gridSpan w:val="3"/>
            <w:tcBorders>
              <w:top w:val="nil"/>
              <w:left w:val="nil"/>
              <w:bottom w:val="single" w:color="auto" w:sz="4" w:space="0"/>
              <w:right w:val="single" w:color="auto" w:sz="6" w:space="0"/>
            </w:tcBorders>
            <w:vAlign w:val="center"/>
          </w:tcPr>
          <w:p w14:paraId="51ABD836">
            <w:pPr>
              <w:widowControl/>
              <w:tabs>
                <w:tab w:val="left" w:pos="2025"/>
                <w:tab w:val="center" w:pos="4082"/>
              </w:tabs>
              <w:jc w:val="center"/>
              <w:rPr>
                <w:sz w:val="24"/>
              </w:rPr>
            </w:pPr>
            <w:r>
              <w:rPr>
                <w:rFonts w:hint="eastAsia"/>
                <w:sz w:val="24"/>
              </w:rPr>
              <w:t>学科一级类：</w:t>
            </w:r>
          </w:p>
        </w:tc>
        <w:tc>
          <w:tcPr>
            <w:tcW w:w="1995" w:type="dxa"/>
            <w:gridSpan w:val="5"/>
            <w:tcBorders>
              <w:top w:val="nil"/>
              <w:left w:val="nil"/>
              <w:bottom w:val="single" w:color="auto" w:sz="4" w:space="0"/>
              <w:right w:val="single" w:color="auto" w:sz="6" w:space="0"/>
            </w:tcBorders>
            <w:vAlign w:val="center"/>
          </w:tcPr>
          <w:p w14:paraId="48926B8E">
            <w:pPr>
              <w:widowControl/>
              <w:tabs>
                <w:tab w:val="left" w:pos="2025"/>
                <w:tab w:val="center" w:pos="4082"/>
              </w:tabs>
              <w:jc w:val="center"/>
              <w:rPr>
                <w:rFonts w:hint="default" w:eastAsia="宋体"/>
                <w:sz w:val="24"/>
                <w:lang w:val="en-US" w:eastAsia="zh-CN"/>
              </w:rPr>
            </w:pPr>
            <w:r>
              <w:rPr>
                <w:rFonts w:hint="eastAsia" w:ascii="仿宋" w:hAnsi="仿宋" w:eastAsia="仿宋" w:cs="仿宋"/>
                <w:sz w:val="24"/>
                <w:lang w:val="en-US" w:eastAsia="zh-CN"/>
              </w:rPr>
              <w:t>工学</w:t>
            </w:r>
          </w:p>
        </w:tc>
        <w:tc>
          <w:tcPr>
            <w:tcW w:w="1995" w:type="dxa"/>
            <w:gridSpan w:val="3"/>
            <w:tcBorders>
              <w:top w:val="nil"/>
              <w:left w:val="nil"/>
              <w:bottom w:val="single" w:color="auto" w:sz="4" w:space="0"/>
              <w:right w:val="single" w:color="auto" w:sz="6" w:space="0"/>
            </w:tcBorders>
            <w:vAlign w:val="center"/>
          </w:tcPr>
          <w:p w14:paraId="3434FB8E">
            <w:pPr>
              <w:widowControl/>
              <w:tabs>
                <w:tab w:val="left" w:pos="2025"/>
                <w:tab w:val="center" w:pos="4082"/>
              </w:tabs>
              <w:jc w:val="center"/>
              <w:rPr>
                <w:sz w:val="24"/>
              </w:rPr>
            </w:pPr>
            <w:r>
              <w:rPr>
                <w:rFonts w:hint="eastAsia"/>
                <w:sz w:val="24"/>
              </w:rPr>
              <w:t>学科二级类：</w:t>
            </w:r>
          </w:p>
        </w:tc>
        <w:tc>
          <w:tcPr>
            <w:tcW w:w="1995" w:type="dxa"/>
            <w:gridSpan w:val="3"/>
            <w:tcBorders>
              <w:top w:val="nil"/>
              <w:left w:val="nil"/>
              <w:bottom w:val="single" w:color="auto" w:sz="4" w:space="0"/>
              <w:right w:val="single" w:color="auto" w:sz="6" w:space="0"/>
            </w:tcBorders>
            <w:vAlign w:val="center"/>
          </w:tcPr>
          <w:p w14:paraId="6FA34FAC">
            <w:pPr>
              <w:widowControl/>
              <w:tabs>
                <w:tab w:val="left" w:pos="2025"/>
                <w:tab w:val="center" w:pos="4082"/>
              </w:tabs>
              <w:jc w:val="center"/>
              <w:rPr>
                <w:rFonts w:hint="default" w:eastAsia="宋体"/>
                <w:sz w:val="24"/>
                <w:lang w:val="en-US" w:eastAsia="zh-CN"/>
              </w:rPr>
            </w:pPr>
            <w:r>
              <w:rPr>
                <w:rFonts w:hint="eastAsia" w:ascii="仿宋" w:hAnsi="仿宋" w:eastAsia="仿宋" w:cs="仿宋"/>
                <w:sz w:val="24"/>
                <w:lang w:val="en-US" w:eastAsia="zh-CN"/>
              </w:rPr>
              <w:t>计算机类</w:t>
            </w:r>
          </w:p>
        </w:tc>
      </w:tr>
      <w:tr w14:paraId="600ED3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820" w:type="dxa"/>
            <w:gridSpan w:val="16"/>
            <w:tcBorders>
              <w:top w:val="single" w:color="auto" w:sz="4" w:space="0"/>
              <w:left w:val="single" w:color="auto" w:sz="6" w:space="0"/>
              <w:bottom w:val="nil"/>
              <w:right w:val="single" w:color="auto" w:sz="6" w:space="0"/>
            </w:tcBorders>
            <w:vAlign w:val="center"/>
          </w:tcPr>
          <w:p w14:paraId="6302088C">
            <w:pPr>
              <w:ind w:firstLine="120" w:firstLineChars="50"/>
              <w:rPr>
                <w:sz w:val="24"/>
              </w:rPr>
            </w:pPr>
            <w:r>
              <w:rPr>
                <w:rFonts w:hint="eastAsia"/>
                <w:sz w:val="24"/>
              </w:rPr>
              <w:t xml:space="preserve">项目起止时间：        </w:t>
            </w:r>
            <w:r>
              <w:rPr>
                <w:sz w:val="24"/>
              </w:rPr>
              <w:t xml:space="preserve"> </w:t>
            </w:r>
            <w:r>
              <w:rPr>
                <w:rFonts w:hint="eastAsia"/>
                <w:sz w:val="24"/>
              </w:rPr>
              <w:t xml:space="preserve">年  </w:t>
            </w:r>
            <w:r>
              <w:rPr>
                <w:sz w:val="24"/>
              </w:rPr>
              <w:t xml:space="preserve">  </w:t>
            </w:r>
            <w:r>
              <w:rPr>
                <w:rFonts w:hint="eastAsia"/>
                <w:sz w:val="24"/>
              </w:rPr>
              <w:t>月至</w:t>
            </w:r>
            <w:r>
              <w:rPr>
                <w:sz w:val="24"/>
              </w:rPr>
              <w:t xml:space="preserve"> </w:t>
            </w:r>
            <w:r>
              <w:rPr>
                <w:rFonts w:hint="eastAsia"/>
                <w:sz w:val="24"/>
              </w:rPr>
              <w:t xml:space="preserve">      年</w:t>
            </w:r>
            <w:r>
              <w:rPr>
                <w:sz w:val="24"/>
              </w:rPr>
              <w:t xml:space="preserve"> </w:t>
            </w:r>
            <w:r>
              <w:rPr>
                <w:rFonts w:hint="eastAsia"/>
                <w:sz w:val="24"/>
              </w:rPr>
              <w:t xml:space="preserve">  </w:t>
            </w:r>
            <w:r>
              <w:rPr>
                <w:sz w:val="24"/>
              </w:rPr>
              <w:t xml:space="preserve"> </w:t>
            </w:r>
            <w:r>
              <w:rPr>
                <w:rFonts w:hint="eastAsia"/>
                <w:sz w:val="24"/>
              </w:rPr>
              <w:t>月</w:t>
            </w:r>
          </w:p>
        </w:tc>
      </w:tr>
      <w:tr w14:paraId="41A856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33DC68FF">
            <w:pPr>
              <w:jc w:val="center"/>
              <w:rPr>
                <w:sz w:val="24"/>
              </w:rPr>
            </w:pPr>
            <w:r>
              <w:rPr>
                <w:rFonts w:hint="eastAsia"/>
                <w:sz w:val="24"/>
              </w:rPr>
              <w:t>负责人</w:t>
            </w:r>
          </w:p>
          <w:p w14:paraId="29B4D8DA">
            <w:pPr>
              <w:jc w:val="center"/>
              <w:rPr>
                <w:sz w:val="24"/>
              </w:rPr>
            </w:pPr>
            <w:r>
              <w:rPr>
                <w:rFonts w:hint="eastAsia"/>
                <w:sz w:val="24"/>
              </w:rPr>
              <w:t>姓名</w:t>
            </w:r>
          </w:p>
        </w:tc>
        <w:tc>
          <w:tcPr>
            <w:tcW w:w="1535" w:type="dxa"/>
            <w:gridSpan w:val="2"/>
            <w:tcBorders>
              <w:top w:val="single" w:color="auto" w:sz="4" w:space="0"/>
              <w:left w:val="nil"/>
              <w:bottom w:val="single" w:color="auto" w:sz="4" w:space="0"/>
              <w:right w:val="single" w:color="auto" w:sz="4" w:space="0"/>
            </w:tcBorders>
            <w:vAlign w:val="center"/>
          </w:tcPr>
          <w:p w14:paraId="19EFF159">
            <w:pPr>
              <w:jc w:val="center"/>
              <w:rPr>
                <w:rFonts w:hint="default" w:eastAsia="宋体"/>
                <w:sz w:val="24"/>
                <w:lang w:val="en-US" w:eastAsia="zh-CN"/>
              </w:rPr>
            </w:pPr>
            <w:r>
              <w:rPr>
                <w:rFonts w:hint="eastAsia"/>
                <w:sz w:val="24"/>
                <w:lang w:val="en-US" w:eastAsia="zh-CN"/>
              </w:rPr>
              <w:t>章登辉</w:t>
            </w:r>
          </w:p>
        </w:tc>
        <w:tc>
          <w:tcPr>
            <w:tcW w:w="880" w:type="dxa"/>
            <w:gridSpan w:val="3"/>
            <w:tcBorders>
              <w:top w:val="single" w:color="auto" w:sz="4" w:space="0"/>
              <w:left w:val="nil"/>
              <w:bottom w:val="single" w:color="auto" w:sz="4" w:space="0"/>
              <w:right w:val="single" w:color="auto" w:sz="4" w:space="0"/>
            </w:tcBorders>
            <w:vAlign w:val="center"/>
          </w:tcPr>
          <w:p w14:paraId="250AA81E">
            <w:pPr>
              <w:ind w:firstLine="240" w:firstLineChars="100"/>
              <w:rPr>
                <w:sz w:val="24"/>
              </w:rPr>
            </w:pPr>
            <w:r>
              <w:rPr>
                <w:rFonts w:hint="eastAsia"/>
                <w:sz w:val="24"/>
              </w:rPr>
              <w:t>性别</w:t>
            </w:r>
          </w:p>
        </w:tc>
        <w:tc>
          <w:tcPr>
            <w:tcW w:w="525" w:type="dxa"/>
            <w:tcBorders>
              <w:top w:val="single" w:color="auto" w:sz="4" w:space="0"/>
              <w:left w:val="single" w:color="auto" w:sz="4" w:space="0"/>
              <w:bottom w:val="single" w:color="auto" w:sz="4" w:space="0"/>
              <w:right w:val="single" w:color="auto" w:sz="4" w:space="0"/>
            </w:tcBorders>
            <w:vAlign w:val="center"/>
          </w:tcPr>
          <w:p w14:paraId="24E05700">
            <w:pPr>
              <w:jc w:val="center"/>
              <w:rPr>
                <w:rFonts w:hint="eastAsia" w:eastAsia="宋体"/>
                <w:sz w:val="24"/>
                <w:lang w:val="en-US" w:eastAsia="zh-CN"/>
              </w:rPr>
            </w:pPr>
            <w:r>
              <w:rPr>
                <w:rFonts w:hint="eastAsia"/>
                <w:sz w:val="24"/>
                <w:lang w:val="en-US" w:eastAsia="zh-CN"/>
              </w:rPr>
              <w:t>男</w:t>
            </w:r>
          </w:p>
        </w:tc>
        <w:tc>
          <w:tcPr>
            <w:tcW w:w="735" w:type="dxa"/>
            <w:tcBorders>
              <w:top w:val="single" w:color="auto" w:sz="4" w:space="0"/>
              <w:left w:val="single" w:color="auto" w:sz="4" w:space="0"/>
              <w:bottom w:val="single" w:color="auto" w:sz="4" w:space="0"/>
              <w:right w:val="single" w:color="auto" w:sz="4" w:space="0"/>
            </w:tcBorders>
            <w:vAlign w:val="center"/>
          </w:tcPr>
          <w:p w14:paraId="4D765525">
            <w:pPr>
              <w:jc w:val="center"/>
              <w:rPr>
                <w:sz w:val="24"/>
              </w:rPr>
            </w:pPr>
            <w:r>
              <w:rPr>
                <w:rFonts w:hint="eastAsia"/>
                <w:sz w:val="24"/>
              </w:rPr>
              <w:t>民族</w:t>
            </w:r>
          </w:p>
        </w:tc>
        <w:tc>
          <w:tcPr>
            <w:tcW w:w="1365" w:type="dxa"/>
            <w:gridSpan w:val="3"/>
            <w:tcBorders>
              <w:top w:val="single" w:color="auto" w:sz="4" w:space="0"/>
              <w:left w:val="single" w:color="auto" w:sz="4" w:space="0"/>
              <w:bottom w:val="single" w:color="auto" w:sz="4" w:space="0"/>
              <w:right w:val="single" w:color="auto" w:sz="4" w:space="0"/>
            </w:tcBorders>
            <w:vAlign w:val="center"/>
          </w:tcPr>
          <w:p w14:paraId="4FAD447B">
            <w:pPr>
              <w:jc w:val="center"/>
              <w:rPr>
                <w:rFonts w:hint="eastAsia" w:eastAsia="宋体"/>
                <w:sz w:val="24"/>
                <w:lang w:val="en-US" w:eastAsia="zh-CN"/>
              </w:rPr>
            </w:pPr>
            <w:r>
              <w:rPr>
                <w:rFonts w:hint="eastAsia"/>
                <w:sz w:val="24"/>
                <w:lang w:val="en-US" w:eastAsia="zh-CN"/>
              </w:rPr>
              <w:t>汉族</w:t>
            </w:r>
          </w:p>
        </w:tc>
        <w:tc>
          <w:tcPr>
            <w:tcW w:w="1155" w:type="dxa"/>
            <w:gridSpan w:val="3"/>
            <w:tcBorders>
              <w:top w:val="single" w:color="auto" w:sz="4" w:space="0"/>
              <w:left w:val="single" w:color="auto" w:sz="4" w:space="0"/>
              <w:bottom w:val="single" w:color="auto" w:sz="4" w:space="0"/>
              <w:right w:val="single" w:color="auto" w:sz="4" w:space="0"/>
            </w:tcBorders>
            <w:vAlign w:val="center"/>
          </w:tcPr>
          <w:p w14:paraId="45290CEF">
            <w:pPr>
              <w:jc w:val="center"/>
              <w:rPr>
                <w:sz w:val="24"/>
              </w:rPr>
            </w:pPr>
            <w:r>
              <w:rPr>
                <w:rFonts w:hint="eastAsia"/>
                <w:sz w:val="24"/>
              </w:rPr>
              <w:t>出生年月</w:t>
            </w:r>
          </w:p>
        </w:tc>
        <w:tc>
          <w:tcPr>
            <w:tcW w:w="1785" w:type="dxa"/>
            <w:tcBorders>
              <w:top w:val="single" w:color="auto" w:sz="4" w:space="0"/>
              <w:left w:val="single" w:color="auto" w:sz="4" w:space="0"/>
              <w:bottom w:val="single" w:color="auto" w:sz="4" w:space="0"/>
              <w:right w:val="single" w:color="auto" w:sz="6" w:space="0"/>
            </w:tcBorders>
            <w:vAlign w:val="center"/>
          </w:tcPr>
          <w:p w14:paraId="52E1F607">
            <w:pPr>
              <w:rPr>
                <w:sz w:val="24"/>
              </w:rPr>
            </w:pPr>
            <w:r>
              <w:rPr>
                <w:sz w:val="24"/>
              </w:rPr>
              <w:t xml:space="preserve">  </w:t>
            </w:r>
            <w:r>
              <w:rPr>
                <w:rFonts w:hint="eastAsia"/>
                <w:sz w:val="24"/>
                <w:lang w:val="en-US" w:eastAsia="zh-CN"/>
              </w:rPr>
              <w:t>2005</w:t>
            </w:r>
            <w:r>
              <w:rPr>
                <w:rFonts w:hint="eastAsia"/>
                <w:sz w:val="24"/>
              </w:rPr>
              <w:t>年</w:t>
            </w:r>
            <w:r>
              <w:rPr>
                <w:sz w:val="24"/>
              </w:rPr>
              <w:t xml:space="preserve"> </w:t>
            </w:r>
            <w:r>
              <w:rPr>
                <w:rFonts w:hint="eastAsia"/>
                <w:sz w:val="24"/>
                <w:lang w:val="en-US" w:eastAsia="zh-CN"/>
              </w:rPr>
              <w:t>9</w:t>
            </w:r>
            <w:r>
              <w:rPr>
                <w:sz w:val="24"/>
              </w:rPr>
              <w:t xml:space="preserve"> </w:t>
            </w:r>
            <w:r>
              <w:rPr>
                <w:rFonts w:hint="eastAsia"/>
                <w:sz w:val="24"/>
              </w:rPr>
              <w:t>月</w:t>
            </w:r>
          </w:p>
        </w:tc>
      </w:tr>
      <w:tr w14:paraId="6489D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71FD769F">
            <w:pPr>
              <w:jc w:val="center"/>
              <w:rPr>
                <w:sz w:val="24"/>
              </w:rPr>
            </w:pPr>
            <w:r>
              <w:rPr>
                <w:rFonts w:hint="eastAsia"/>
                <w:sz w:val="24"/>
              </w:rPr>
              <w:t>学号</w:t>
            </w:r>
          </w:p>
        </w:tc>
        <w:tc>
          <w:tcPr>
            <w:tcW w:w="1535" w:type="dxa"/>
            <w:gridSpan w:val="2"/>
            <w:tcBorders>
              <w:top w:val="single" w:color="auto" w:sz="4" w:space="0"/>
              <w:left w:val="nil"/>
              <w:bottom w:val="single" w:color="auto" w:sz="4" w:space="0"/>
              <w:right w:val="single" w:color="auto" w:sz="4" w:space="0"/>
            </w:tcBorders>
            <w:vAlign w:val="center"/>
          </w:tcPr>
          <w:p w14:paraId="23BC9FE9">
            <w:pPr>
              <w:jc w:val="center"/>
              <w:rPr>
                <w:rFonts w:hint="eastAsia" w:ascii="仿宋" w:hAnsi="仿宋" w:eastAsia="仿宋" w:cs="仿宋"/>
                <w:sz w:val="24"/>
                <w:lang w:val="en-US" w:eastAsia="zh-CN"/>
              </w:rPr>
            </w:pPr>
            <w:r>
              <w:rPr>
                <w:rFonts w:hint="eastAsia" w:ascii="仿宋" w:hAnsi="仿宋" w:eastAsia="仿宋" w:cs="仿宋"/>
                <w:sz w:val="24"/>
                <w:lang w:val="en-US" w:eastAsia="zh-CN"/>
              </w:rPr>
              <w:t>124112024064</w:t>
            </w:r>
          </w:p>
        </w:tc>
        <w:tc>
          <w:tcPr>
            <w:tcW w:w="880" w:type="dxa"/>
            <w:gridSpan w:val="3"/>
            <w:tcBorders>
              <w:top w:val="single" w:color="auto" w:sz="4" w:space="0"/>
              <w:left w:val="nil"/>
              <w:bottom w:val="single" w:color="auto" w:sz="4" w:space="0"/>
              <w:right w:val="single" w:color="auto" w:sz="4" w:space="0"/>
            </w:tcBorders>
            <w:vAlign w:val="center"/>
          </w:tcPr>
          <w:p w14:paraId="164F61B9">
            <w:pPr>
              <w:ind w:firstLine="240" w:firstLineChars="100"/>
              <w:jc w:val="center"/>
              <w:rPr>
                <w:sz w:val="24"/>
              </w:rPr>
            </w:pPr>
            <w:r>
              <w:rPr>
                <w:rFonts w:hint="eastAsia"/>
                <w:sz w:val="24"/>
              </w:rPr>
              <w:t>联系</w:t>
            </w:r>
          </w:p>
          <w:p w14:paraId="7E64B2E5">
            <w:pPr>
              <w:ind w:firstLine="240" w:firstLineChars="100"/>
              <w:jc w:val="center"/>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78300056">
            <w:pPr>
              <w:ind w:firstLine="480" w:firstLineChars="200"/>
              <w:jc w:val="center"/>
              <w:rPr>
                <w:rFonts w:hint="eastAsia" w:ascii="仿宋" w:hAnsi="仿宋" w:eastAsia="仿宋" w:cs="仿宋"/>
                <w:sz w:val="24"/>
                <w:lang w:val="en-US" w:eastAsia="zh-CN"/>
              </w:rPr>
            </w:pPr>
            <w:r>
              <w:rPr>
                <w:rFonts w:hint="eastAsia" w:ascii="仿宋" w:hAnsi="仿宋" w:eastAsia="仿宋" w:cs="仿宋"/>
                <w:sz w:val="24"/>
                <w:lang w:val="en-US" w:eastAsia="zh-CN"/>
              </w:rPr>
              <w:t>19285936686</w:t>
            </w:r>
          </w:p>
        </w:tc>
      </w:tr>
      <w:tr w14:paraId="2F89C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179FACE8">
            <w:pPr>
              <w:jc w:val="center"/>
              <w:rPr>
                <w:sz w:val="24"/>
              </w:rPr>
            </w:pPr>
            <w:r>
              <w:rPr>
                <w:rFonts w:hint="eastAsia"/>
                <w:sz w:val="24"/>
              </w:rPr>
              <w:t>指导</w:t>
            </w:r>
          </w:p>
          <w:p w14:paraId="63B903B7">
            <w:pPr>
              <w:jc w:val="center"/>
              <w:rPr>
                <w:sz w:val="24"/>
              </w:rPr>
            </w:pPr>
            <w:r>
              <w:rPr>
                <w:rFonts w:hint="eastAsia"/>
                <w:sz w:val="24"/>
              </w:rPr>
              <w:t>教师</w:t>
            </w:r>
          </w:p>
        </w:tc>
        <w:tc>
          <w:tcPr>
            <w:tcW w:w="1535" w:type="dxa"/>
            <w:gridSpan w:val="2"/>
            <w:tcBorders>
              <w:top w:val="single" w:color="auto" w:sz="4" w:space="0"/>
              <w:left w:val="nil"/>
              <w:bottom w:val="single" w:color="auto" w:sz="4" w:space="0"/>
              <w:right w:val="single" w:color="auto" w:sz="4" w:space="0"/>
            </w:tcBorders>
            <w:vAlign w:val="center"/>
          </w:tcPr>
          <w:p w14:paraId="4BD06F9A">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林昌意</w:t>
            </w:r>
          </w:p>
          <w:p w14:paraId="74809347">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欧静</w:t>
            </w:r>
          </w:p>
        </w:tc>
        <w:tc>
          <w:tcPr>
            <w:tcW w:w="880" w:type="dxa"/>
            <w:gridSpan w:val="3"/>
            <w:tcBorders>
              <w:top w:val="single" w:color="auto" w:sz="4" w:space="0"/>
              <w:left w:val="nil"/>
              <w:bottom w:val="single" w:color="auto" w:sz="4" w:space="0"/>
              <w:right w:val="single" w:color="auto" w:sz="4" w:space="0"/>
            </w:tcBorders>
            <w:vAlign w:val="center"/>
          </w:tcPr>
          <w:p w14:paraId="165644E9">
            <w:pPr>
              <w:ind w:firstLine="240" w:firstLineChars="100"/>
              <w:jc w:val="center"/>
              <w:rPr>
                <w:sz w:val="24"/>
              </w:rPr>
            </w:pPr>
            <w:r>
              <w:rPr>
                <w:rFonts w:hint="eastAsia"/>
                <w:sz w:val="24"/>
              </w:rPr>
              <w:t>联系</w:t>
            </w:r>
          </w:p>
          <w:p w14:paraId="069E4995">
            <w:pPr>
              <w:ind w:firstLine="240" w:firstLineChars="100"/>
              <w:jc w:val="center"/>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01798FAE">
            <w:pPr>
              <w:ind w:firstLine="480" w:firstLineChars="200"/>
              <w:jc w:val="center"/>
              <w:rPr>
                <w:rFonts w:hint="eastAsia" w:ascii="仿宋" w:hAnsi="仿宋" w:eastAsia="仿宋" w:cs="仿宋"/>
                <w:sz w:val="24"/>
              </w:rPr>
            </w:pPr>
            <w:r>
              <w:rPr>
                <w:rFonts w:hint="eastAsia" w:ascii="仿宋" w:hAnsi="仿宋" w:eastAsia="仿宋" w:cs="仿宋"/>
                <w:sz w:val="24"/>
              </w:rPr>
              <w:t>15306073791</w:t>
            </w:r>
          </w:p>
          <w:p w14:paraId="13A64588">
            <w:pPr>
              <w:ind w:firstLine="480" w:firstLineChars="200"/>
              <w:jc w:val="center"/>
              <w:rPr>
                <w:rFonts w:hint="eastAsia" w:ascii="仿宋" w:hAnsi="仿宋" w:eastAsia="仿宋" w:cs="仿宋"/>
                <w:sz w:val="24"/>
              </w:rPr>
            </w:pPr>
            <w:r>
              <w:rPr>
                <w:rFonts w:hint="eastAsia" w:ascii="仿宋" w:hAnsi="仿宋" w:eastAsia="仿宋" w:cs="仿宋"/>
                <w:sz w:val="24"/>
              </w:rPr>
              <w:t>13599056714</w:t>
            </w:r>
          </w:p>
        </w:tc>
      </w:tr>
      <w:tr w14:paraId="4B2ED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98"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52FE5717">
            <w:pPr>
              <w:rPr>
                <w:sz w:val="24"/>
              </w:rPr>
            </w:pPr>
            <w:r>
              <w:rPr>
                <w:rFonts w:hint="eastAsia"/>
                <w:sz w:val="24"/>
              </w:rPr>
              <w:t>负责人曾经参与科研的情况</w:t>
            </w:r>
          </w:p>
        </w:tc>
        <w:tc>
          <w:tcPr>
            <w:tcW w:w="7020" w:type="dxa"/>
            <w:gridSpan w:val="13"/>
            <w:tcBorders>
              <w:top w:val="single" w:color="auto" w:sz="4" w:space="0"/>
              <w:left w:val="nil"/>
              <w:bottom w:val="single" w:color="auto" w:sz="4" w:space="0"/>
              <w:right w:val="single" w:color="auto" w:sz="6" w:space="0"/>
            </w:tcBorders>
            <w:vAlign w:val="center"/>
          </w:tcPr>
          <w:p w14:paraId="025FF672">
            <w:pPr>
              <w:rPr>
                <w:sz w:val="24"/>
              </w:rPr>
            </w:pPr>
          </w:p>
          <w:p w14:paraId="367E308E">
            <w:pPr>
              <w:rPr>
                <w:sz w:val="24"/>
              </w:rPr>
            </w:pPr>
          </w:p>
          <w:p w14:paraId="221999D2">
            <w:pPr>
              <w:rPr>
                <w:sz w:val="24"/>
              </w:rPr>
            </w:pPr>
          </w:p>
        </w:tc>
      </w:tr>
      <w:tr w14:paraId="5BD219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269"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5FD90081">
            <w:pPr>
              <w:rPr>
                <w:sz w:val="24"/>
              </w:rPr>
            </w:pPr>
            <w:r>
              <w:rPr>
                <w:rFonts w:hint="eastAsia"/>
                <w:sz w:val="24"/>
              </w:rPr>
              <w:t>指导教师承担科研课题情况</w:t>
            </w:r>
          </w:p>
        </w:tc>
        <w:tc>
          <w:tcPr>
            <w:tcW w:w="7020" w:type="dxa"/>
            <w:gridSpan w:val="13"/>
            <w:tcBorders>
              <w:top w:val="single" w:color="auto" w:sz="4" w:space="0"/>
              <w:left w:val="nil"/>
              <w:bottom w:val="single" w:color="auto" w:sz="4" w:space="0"/>
              <w:right w:val="single" w:color="auto" w:sz="6" w:space="0"/>
            </w:tcBorders>
            <w:vAlign w:val="center"/>
          </w:tcPr>
          <w:p w14:paraId="22F54DE0">
            <w:pPr>
              <w:rPr>
                <w:sz w:val="24"/>
              </w:rPr>
            </w:pPr>
          </w:p>
          <w:p w14:paraId="37B94B44">
            <w:pPr>
              <w:rPr>
                <w:sz w:val="24"/>
              </w:rPr>
            </w:pPr>
          </w:p>
          <w:p w14:paraId="5A892EB7">
            <w:pPr>
              <w:rPr>
                <w:sz w:val="24"/>
              </w:rPr>
            </w:pPr>
          </w:p>
        </w:tc>
      </w:tr>
      <w:tr w14:paraId="35795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74" w:hRule="atLeast"/>
        </w:trPr>
        <w:tc>
          <w:tcPr>
            <w:tcW w:w="1800" w:type="dxa"/>
            <w:gridSpan w:val="3"/>
            <w:tcBorders>
              <w:top w:val="single" w:color="auto" w:sz="4" w:space="0"/>
              <w:left w:val="single" w:color="auto" w:sz="6" w:space="0"/>
              <w:bottom w:val="nil"/>
              <w:right w:val="single" w:color="auto" w:sz="4" w:space="0"/>
            </w:tcBorders>
            <w:vAlign w:val="center"/>
          </w:tcPr>
          <w:p w14:paraId="2627D528">
            <w:pPr>
              <w:rPr>
                <w:sz w:val="24"/>
              </w:rPr>
            </w:pPr>
            <w:r>
              <w:rPr>
                <w:rFonts w:hint="eastAsia"/>
                <w:sz w:val="24"/>
              </w:rPr>
              <w:t>指导教师对本项目的支持情况</w:t>
            </w:r>
          </w:p>
        </w:tc>
        <w:tc>
          <w:tcPr>
            <w:tcW w:w="7020" w:type="dxa"/>
            <w:gridSpan w:val="13"/>
            <w:tcBorders>
              <w:top w:val="single" w:color="auto" w:sz="4" w:space="0"/>
              <w:left w:val="nil"/>
              <w:bottom w:val="single" w:color="auto" w:sz="4" w:space="0"/>
              <w:right w:val="single" w:color="auto" w:sz="6" w:space="0"/>
            </w:tcBorders>
            <w:vAlign w:val="center"/>
          </w:tcPr>
          <w:p w14:paraId="61291AB9">
            <w:pPr>
              <w:rPr>
                <w:sz w:val="24"/>
              </w:rPr>
            </w:pPr>
          </w:p>
          <w:p w14:paraId="00F31815">
            <w:pPr>
              <w:rPr>
                <w:sz w:val="24"/>
              </w:rPr>
            </w:pPr>
          </w:p>
          <w:p w14:paraId="08EF8E30">
            <w:pPr>
              <w:rPr>
                <w:sz w:val="24"/>
              </w:rPr>
            </w:pPr>
          </w:p>
          <w:p w14:paraId="692E6F86">
            <w:pPr>
              <w:rPr>
                <w:sz w:val="24"/>
              </w:rPr>
            </w:pPr>
          </w:p>
        </w:tc>
      </w:tr>
      <w:tr w14:paraId="591DE2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10" w:hRule="atLeast"/>
        </w:trPr>
        <w:tc>
          <w:tcPr>
            <w:tcW w:w="1800" w:type="dxa"/>
            <w:gridSpan w:val="3"/>
            <w:tcBorders>
              <w:top w:val="single" w:color="auto" w:sz="4" w:space="0"/>
              <w:left w:val="single" w:color="auto" w:sz="6" w:space="0"/>
              <w:bottom w:val="nil"/>
              <w:right w:val="single" w:color="auto" w:sz="4" w:space="0"/>
            </w:tcBorders>
            <w:vAlign w:val="center"/>
          </w:tcPr>
          <w:p w14:paraId="0A922D56">
            <w:pPr>
              <w:rPr>
                <w:sz w:val="24"/>
              </w:rPr>
            </w:pPr>
            <w:r>
              <w:rPr>
                <w:rFonts w:hint="eastAsia"/>
                <w:sz w:val="24"/>
              </w:rPr>
              <w:t>项目参加各级各类创新创业竞赛及获奖情况、入驻创业园情况</w:t>
            </w:r>
          </w:p>
        </w:tc>
        <w:tc>
          <w:tcPr>
            <w:tcW w:w="7020" w:type="dxa"/>
            <w:gridSpan w:val="13"/>
            <w:tcBorders>
              <w:top w:val="single" w:color="auto" w:sz="4" w:space="0"/>
              <w:left w:val="nil"/>
              <w:bottom w:val="single" w:color="auto" w:sz="4" w:space="0"/>
              <w:right w:val="single" w:color="auto" w:sz="6" w:space="0"/>
            </w:tcBorders>
            <w:vAlign w:val="center"/>
          </w:tcPr>
          <w:p w14:paraId="24E1E1A2">
            <w:pPr>
              <w:rPr>
                <w:sz w:val="24"/>
              </w:rPr>
            </w:pPr>
          </w:p>
          <w:p w14:paraId="0899CFD5">
            <w:pPr>
              <w:rPr>
                <w:sz w:val="24"/>
              </w:rPr>
            </w:pPr>
          </w:p>
          <w:p w14:paraId="0FC6D8E7">
            <w:pPr>
              <w:rPr>
                <w:sz w:val="24"/>
              </w:rPr>
            </w:pPr>
          </w:p>
          <w:p w14:paraId="5A7BC413">
            <w:pPr>
              <w:rPr>
                <w:sz w:val="24"/>
              </w:rPr>
            </w:pPr>
          </w:p>
        </w:tc>
      </w:tr>
      <w:tr w14:paraId="323D0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680" w:hRule="atLeast"/>
        </w:trPr>
        <w:tc>
          <w:tcPr>
            <w:tcW w:w="420" w:type="dxa"/>
            <w:vMerge w:val="restart"/>
            <w:tcBorders>
              <w:top w:val="single" w:color="auto" w:sz="4" w:space="0"/>
              <w:left w:val="single" w:color="auto" w:sz="4" w:space="0"/>
              <w:bottom w:val="single" w:color="auto" w:sz="4" w:space="0"/>
              <w:right w:val="nil"/>
            </w:tcBorders>
            <w:vAlign w:val="center"/>
          </w:tcPr>
          <w:p w14:paraId="6A88DFEF">
            <w:pPr>
              <w:jc w:val="center"/>
              <w:rPr>
                <w:sz w:val="24"/>
              </w:rPr>
            </w:pPr>
            <w:r>
              <w:rPr>
                <w:rFonts w:hint="eastAsia"/>
                <w:sz w:val="24"/>
              </w:rPr>
              <w:t>项</w:t>
            </w:r>
          </w:p>
          <w:p w14:paraId="2003D42E">
            <w:pPr>
              <w:jc w:val="center"/>
              <w:rPr>
                <w:sz w:val="24"/>
              </w:rPr>
            </w:pPr>
            <w:r>
              <w:rPr>
                <w:rFonts w:hint="eastAsia"/>
                <w:sz w:val="24"/>
              </w:rPr>
              <w:t>目</w:t>
            </w:r>
          </w:p>
          <w:p w14:paraId="4DEFA1F5">
            <w:pPr>
              <w:jc w:val="center"/>
              <w:rPr>
                <w:sz w:val="24"/>
              </w:rPr>
            </w:pPr>
            <w:r>
              <w:rPr>
                <w:rFonts w:hint="eastAsia"/>
                <w:sz w:val="24"/>
              </w:rPr>
              <w:t>组</w:t>
            </w:r>
          </w:p>
          <w:p w14:paraId="7D250526">
            <w:pPr>
              <w:jc w:val="center"/>
              <w:rPr>
                <w:sz w:val="24"/>
              </w:rPr>
            </w:pPr>
            <w:r>
              <w:rPr>
                <w:rFonts w:hint="eastAsia"/>
                <w:sz w:val="24"/>
              </w:rPr>
              <w:t>主</w:t>
            </w:r>
          </w:p>
          <w:p w14:paraId="10437825">
            <w:pPr>
              <w:jc w:val="center"/>
              <w:rPr>
                <w:sz w:val="24"/>
              </w:rPr>
            </w:pPr>
            <w:r>
              <w:rPr>
                <w:rFonts w:hint="eastAsia"/>
                <w:sz w:val="24"/>
              </w:rPr>
              <w:t>要</w:t>
            </w:r>
          </w:p>
          <w:p w14:paraId="0764E84E">
            <w:pPr>
              <w:jc w:val="center"/>
              <w:rPr>
                <w:sz w:val="24"/>
              </w:rPr>
            </w:pPr>
            <w:r>
              <w:rPr>
                <w:rFonts w:hint="eastAsia"/>
                <w:sz w:val="24"/>
              </w:rPr>
              <w:t>成</w:t>
            </w:r>
          </w:p>
          <w:p w14:paraId="4530A90A">
            <w:pPr>
              <w:jc w:val="center"/>
              <w:rPr>
                <w:sz w:val="24"/>
              </w:rPr>
            </w:pPr>
            <w:r>
              <w:rPr>
                <w:rFonts w:hint="eastAsia"/>
                <w:sz w:val="24"/>
              </w:rPr>
              <w:t>员</w:t>
            </w: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76D1C104">
            <w:pPr>
              <w:jc w:val="center"/>
              <w:rPr>
                <w:sz w:val="24"/>
              </w:rPr>
            </w:pPr>
            <w:r>
              <w:rPr>
                <w:rFonts w:hint="eastAsia"/>
                <w:sz w:val="24"/>
              </w:rPr>
              <w:t>姓   名</w:t>
            </w:r>
          </w:p>
        </w:tc>
        <w:tc>
          <w:tcPr>
            <w:tcW w:w="1440" w:type="dxa"/>
            <w:gridSpan w:val="3"/>
            <w:tcBorders>
              <w:top w:val="single" w:color="auto" w:sz="4" w:space="0"/>
              <w:left w:val="nil"/>
              <w:bottom w:val="single" w:color="auto" w:sz="4" w:space="0"/>
              <w:right w:val="single" w:color="auto" w:sz="4" w:space="0"/>
            </w:tcBorders>
            <w:vAlign w:val="center"/>
          </w:tcPr>
          <w:p w14:paraId="67E6B53B">
            <w:pPr>
              <w:jc w:val="center"/>
              <w:rPr>
                <w:sz w:val="24"/>
              </w:rPr>
            </w:pPr>
            <w:r>
              <w:rPr>
                <w:rFonts w:hint="eastAsia" w:ascii="宋体" w:hAnsi="宋体"/>
                <w:sz w:val="24"/>
              </w:rPr>
              <w:t>学号</w:t>
            </w:r>
          </w:p>
        </w:tc>
        <w:tc>
          <w:tcPr>
            <w:tcW w:w="1800" w:type="dxa"/>
            <w:gridSpan w:val="5"/>
            <w:tcBorders>
              <w:top w:val="single" w:color="auto" w:sz="4" w:space="0"/>
              <w:left w:val="nil"/>
              <w:bottom w:val="single" w:color="auto" w:sz="4" w:space="0"/>
              <w:right w:val="single" w:color="auto" w:sz="4" w:space="0"/>
            </w:tcBorders>
            <w:vAlign w:val="center"/>
          </w:tcPr>
          <w:p w14:paraId="18C37F2A">
            <w:pPr>
              <w:jc w:val="center"/>
              <w:rPr>
                <w:sz w:val="24"/>
              </w:rPr>
            </w:pPr>
            <w:r>
              <w:rPr>
                <w:rFonts w:hint="eastAsia"/>
                <w:sz w:val="24"/>
              </w:rPr>
              <w:t>专业班级</w:t>
            </w:r>
          </w:p>
        </w:tc>
        <w:tc>
          <w:tcPr>
            <w:tcW w:w="1980" w:type="dxa"/>
            <w:gridSpan w:val="3"/>
            <w:tcBorders>
              <w:top w:val="single" w:color="auto" w:sz="4" w:space="0"/>
              <w:left w:val="nil"/>
              <w:bottom w:val="single" w:color="auto" w:sz="4" w:space="0"/>
              <w:right w:val="single" w:color="auto" w:sz="4" w:space="0"/>
            </w:tcBorders>
            <w:vAlign w:val="center"/>
          </w:tcPr>
          <w:p w14:paraId="1EF222DC">
            <w:pPr>
              <w:jc w:val="center"/>
              <w:rPr>
                <w:sz w:val="24"/>
              </w:rPr>
            </w:pPr>
            <w:r>
              <w:rPr>
                <w:rFonts w:hint="eastAsia"/>
                <w:sz w:val="24"/>
              </w:rPr>
              <w:t>所在系</w:t>
            </w:r>
          </w:p>
        </w:tc>
        <w:tc>
          <w:tcPr>
            <w:tcW w:w="1800" w:type="dxa"/>
            <w:gridSpan w:val="2"/>
            <w:tcBorders>
              <w:top w:val="single" w:color="auto" w:sz="4" w:space="0"/>
              <w:left w:val="nil"/>
              <w:bottom w:val="single" w:color="auto" w:sz="4" w:space="0"/>
              <w:right w:val="single" w:color="auto" w:sz="4" w:space="0"/>
            </w:tcBorders>
            <w:vAlign w:val="center"/>
          </w:tcPr>
          <w:p w14:paraId="489EBD7B">
            <w:pPr>
              <w:jc w:val="center"/>
              <w:rPr>
                <w:rFonts w:hint="eastAsia"/>
                <w:sz w:val="24"/>
              </w:rPr>
            </w:pPr>
            <w:r>
              <w:rPr>
                <w:rFonts w:hint="eastAsia"/>
                <w:sz w:val="24"/>
              </w:rPr>
              <w:t>项目中的分工</w:t>
            </w:r>
          </w:p>
        </w:tc>
      </w:tr>
      <w:tr w14:paraId="445848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6" w:hRule="atLeast"/>
        </w:trPr>
        <w:tc>
          <w:tcPr>
            <w:tcW w:w="420" w:type="dxa"/>
            <w:vMerge w:val="continue"/>
            <w:tcBorders>
              <w:top w:val="nil"/>
              <w:left w:val="single" w:color="auto" w:sz="4" w:space="0"/>
              <w:bottom w:val="single" w:color="auto" w:sz="4" w:space="0"/>
              <w:right w:val="nil"/>
            </w:tcBorders>
            <w:vAlign w:val="center"/>
          </w:tcPr>
          <w:p w14:paraId="6AAF7750">
            <w:pPr>
              <w:spacing w:line="240" w:lineRule="atLeast"/>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8811BB7">
            <w:pPr>
              <w:jc w:val="center"/>
              <w:rPr>
                <w:rFonts w:eastAsia="楷体_GB2312"/>
                <w:sz w:val="24"/>
              </w:rPr>
            </w:pPr>
            <w:r>
              <w:rPr>
                <w:rFonts w:hint="eastAsia" w:eastAsia="楷体_GB2312"/>
                <w:sz w:val="24"/>
              </w:rPr>
              <w:t>苏智鑫</w:t>
            </w:r>
          </w:p>
        </w:tc>
        <w:tc>
          <w:tcPr>
            <w:tcW w:w="1440" w:type="dxa"/>
            <w:gridSpan w:val="3"/>
            <w:tcBorders>
              <w:top w:val="single" w:color="auto" w:sz="4" w:space="0"/>
              <w:left w:val="nil"/>
              <w:bottom w:val="single" w:color="auto" w:sz="4" w:space="0"/>
              <w:right w:val="single" w:color="auto" w:sz="4" w:space="0"/>
            </w:tcBorders>
            <w:vAlign w:val="center"/>
          </w:tcPr>
          <w:p w14:paraId="3C112BA6">
            <w:pPr>
              <w:jc w:val="center"/>
              <w:rPr>
                <w:rFonts w:eastAsia="楷体_GB2312"/>
                <w:sz w:val="24"/>
              </w:rPr>
            </w:pPr>
            <w:r>
              <w:rPr>
                <w:rFonts w:hint="eastAsia" w:eastAsia="楷体_GB2312"/>
                <w:sz w:val="24"/>
              </w:rPr>
              <w:t>124112024037</w:t>
            </w:r>
          </w:p>
        </w:tc>
        <w:tc>
          <w:tcPr>
            <w:tcW w:w="1800" w:type="dxa"/>
            <w:gridSpan w:val="5"/>
            <w:tcBorders>
              <w:top w:val="single" w:color="auto" w:sz="4" w:space="0"/>
              <w:left w:val="nil"/>
              <w:bottom w:val="single" w:color="auto" w:sz="4" w:space="0"/>
              <w:right w:val="single" w:color="auto" w:sz="4" w:space="0"/>
            </w:tcBorders>
            <w:vAlign w:val="center"/>
          </w:tcPr>
          <w:p w14:paraId="79C455EB">
            <w:pPr>
              <w:jc w:val="center"/>
              <w:rPr>
                <w:rFonts w:eastAsia="楷体_GB2312"/>
                <w:sz w:val="24"/>
              </w:rPr>
            </w:pPr>
            <w:r>
              <w:rPr>
                <w:rFonts w:hint="eastAsia" w:eastAsia="楷体_GB2312"/>
                <w:sz w:val="24"/>
              </w:rPr>
              <w:t>计算机科学与技术1班</w:t>
            </w:r>
          </w:p>
        </w:tc>
        <w:tc>
          <w:tcPr>
            <w:tcW w:w="1980" w:type="dxa"/>
            <w:gridSpan w:val="3"/>
            <w:tcBorders>
              <w:top w:val="single" w:color="auto" w:sz="4" w:space="0"/>
              <w:left w:val="nil"/>
              <w:bottom w:val="single" w:color="auto" w:sz="4" w:space="0"/>
              <w:right w:val="single" w:color="auto" w:sz="4" w:space="0"/>
            </w:tcBorders>
            <w:vAlign w:val="center"/>
          </w:tcPr>
          <w:p w14:paraId="7C2117AC">
            <w:pPr>
              <w:jc w:val="center"/>
              <w:rPr>
                <w:rFonts w:hint="default" w:eastAsia="楷体_GB2312"/>
                <w:sz w:val="24"/>
                <w:lang w:val="en-US" w:eastAsia="zh-CN"/>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1C9612B4">
            <w:pPr>
              <w:jc w:val="center"/>
              <w:rPr>
                <w:rFonts w:eastAsia="楷体_GB2312"/>
                <w:sz w:val="24"/>
              </w:rPr>
            </w:pPr>
          </w:p>
        </w:tc>
      </w:tr>
      <w:tr w14:paraId="5D8E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4" w:hRule="atLeast"/>
        </w:trPr>
        <w:tc>
          <w:tcPr>
            <w:tcW w:w="420" w:type="dxa"/>
            <w:vMerge w:val="continue"/>
            <w:tcBorders>
              <w:top w:val="nil"/>
              <w:left w:val="single" w:color="auto" w:sz="4" w:space="0"/>
              <w:bottom w:val="single" w:color="auto" w:sz="4" w:space="0"/>
              <w:right w:val="nil"/>
            </w:tcBorders>
            <w:vAlign w:val="center"/>
          </w:tcPr>
          <w:p w14:paraId="09E415CE">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0E252561">
            <w:pPr>
              <w:jc w:val="center"/>
              <w:rPr>
                <w:rFonts w:eastAsia="楷体_GB2312"/>
                <w:sz w:val="24"/>
              </w:rPr>
            </w:pPr>
            <w:r>
              <w:rPr>
                <w:rFonts w:hint="eastAsia" w:eastAsia="楷体_GB2312"/>
                <w:sz w:val="24"/>
              </w:rPr>
              <w:t>翁冰琳</w:t>
            </w:r>
          </w:p>
        </w:tc>
        <w:tc>
          <w:tcPr>
            <w:tcW w:w="1440" w:type="dxa"/>
            <w:gridSpan w:val="3"/>
            <w:tcBorders>
              <w:top w:val="single" w:color="auto" w:sz="4" w:space="0"/>
              <w:left w:val="nil"/>
              <w:bottom w:val="single" w:color="auto" w:sz="4" w:space="0"/>
              <w:right w:val="single" w:color="auto" w:sz="4" w:space="0"/>
            </w:tcBorders>
            <w:vAlign w:val="center"/>
          </w:tcPr>
          <w:p w14:paraId="4217ADCA">
            <w:pPr>
              <w:jc w:val="center"/>
              <w:rPr>
                <w:rFonts w:eastAsia="楷体_GB2312"/>
                <w:sz w:val="24"/>
              </w:rPr>
            </w:pPr>
            <w:r>
              <w:rPr>
                <w:rFonts w:hint="eastAsia" w:eastAsia="楷体_GB2312"/>
                <w:sz w:val="24"/>
              </w:rPr>
              <w:t>124292024034</w:t>
            </w:r>
          </w:p>
        </w:tc>
        <w:tc>
          <w:tcPr>
            <w:tcW w:w="1800" w:type="dxa"/>
            <w:gridSpan w:val="5"/>
            <w:tcBorders>
              <w:top w:val="single" w:color="auto" w:sz="4" w:space="0"/>
              <w:left w:val="nil"/>
              <w:bottom w:val="single" w:color="auto" w:sz="4" w:space="0"/>
              <w:right w:val="single" w:color="auto" w:sz="4" w:space="0"/>
            </w:tcBorders>
            <w:vAlign w:val="center"/>
          </w:tcPr>
          <w:p w14:paraId="2172F706">
            <w:pPr>
              <w:jc w:val="center"/>
              <w:rPr>
                <w:rFonts w:eastAsia="楷体_GB2312"/>
                <w:sz w:val="24"/>
              </w:rPr>
            </w:pPr>
            <w:r>
              <w:rPr>
                <w:rFonts w:hint="eastAsia" w:eastAsia="楷体_GB2312"/>
                <w:sz w:val="24"/>
              </w:rPr>
              <w:t>电子信息工程1班</w:t>
            </w:r>
          </w:p>
        </w:tc>
        <w:tc>
          <w:tcPr>
            <w:tcW w:w="1980" w:type="dxa"/>
            <w:gridSpan w:val="3"/>
            <w:tcBorders>
              <w:top w:val="single" w:color="auto" w:sz="4" w:space="0"/>
              <w:left w:val="nil"/>
              <w:bottom w:val="single" w:color="auto" w:sz="4" w:space="0"/>
              <w:right w:val="single" w:color="auto" w:sz="4" w:space="0"/>
            </w:tcBorders>
            <w:vAlign w:val="center"/>
          </w:tcPr>
          <w:p w14:paraId="527B7673">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657BE860">
            <w:pPr>
              <w:jc w:val="center"/>
              <w:rPr>
                <w:rFonts w:eastAsia="楷体_GB2312"/>
                <w:sz w:val="24"/>
              </w:rPr>
            </w:pPr>
          </w:p>
        </w:tc>
      </w:tr>
      <w:tr w14:paraId="6757F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1" w:hRule="atLeast"/>
        </w:trPr>
        <w:tc>
          <w:tcPr>
            <w:tcW w:w="420" w:type="dxa"/>
            <w:vMerge w:val="continue"/>
            <w:tcBorders>
              <w:top w:val="nil"/>
              <w:left w:val="single" w:color="auto" w:sz="4" w:space="0"/>
              <w:bottom w:val="single" w:color="auto" w:sz="4" w:space="0"/>
              <w:right w:val="nil"/>
            </w:tcBorders>
            <w:vAlign w:val="center"/>
          </w:tcPr>
          <w:p w14:paraId="42A26E54">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C6F6F45">
            <w:pPr>
              <w:jc w:val="center"/>
              <w:rPr>
                <w:rFonts w:eastAsia="楷体_GB2312"/>
                <w:sz w:val="24"/>
              </w:rPr>
            </w:pPr>
            <w:r>
              <w:rPr>
                <w:rFonts w:hint="eastAsia" w:eastAsia="楷体_GB2312"/>
                <w:sz w:val="24"/>
              </w:rPr>
              <w:t>陈宇桐</w:t>
            </w:r>
          </w:p>
        </w:tc>
        <w:tc>
          <w:tcPr>
            <w:tcW w:w="1440" w:type="dxa"/>
            <w:gridSpan w:val="3"/>
            <w:tcBorders>
              <w:top w:val="single" w:color="auto" w:sz="4" w:space="0"/>
              <w:left w:val="nil"/>
              <w:bottom w:val="single" w:color="auto" w:sz="4" w:space="0"/>
              <w:right w:val="single" w:color="auto" w:sz="4" w:space="0"/>
            </w:tcBorders>
            <w:vAlign w:val="center"/>
          </w:tcPr>
          <w:p w14:paraId="0A0C9358">
            <w:pPr>
              <w:jc w:val="center"/>
              <w:rPr>
                <w:rFonts w:eastAsia="楷体_GB2312"/>
                <w:sz w:val="24"/>
              </w:rPr>
            </w:pPr>
            <w:r>
              <w:rPr>
                <w:rFonts w:hint="eastAsia" w:eastAsia="楷体_GB2312"/>
                <w:sz w:val="24"/>
              </w:rPr>
              <w:t>124292024061</w:t>
            </w:r>
          </w:p>
        </w:tc>
        <w:tc>
          <w:tcPr>
            <w:tcW w:w="1800" w:type="dxa"/>
            <w:gridSpan w:val="5"/>
            <w:tcBorders>
              <w:top w:val="single" w:color="auto" w:sz="4" w:space="0"/>
              <w:left w:val="nil"/>
              <w:bottom w:val="single" w:color="auto" w:sz="4" w:space="0"/>
              <w:right w:val="single" w:color="auto" w:sz="4" w:space="0"/>
            </w:tcBorders>
            <w:vAlign w:val="center"/>
          </w:tcPr>
          <w:p w14:paraId="1F7D5264">
            <w:pPr>
              <w:jc w:val="center"/>
              <w:rPr>
                <w:rFonts w:eastAsia="楷体_GB2312"/>
                <w:sz w:val="24"/>
              </w:rPr>
            </w:pPr>
            <w:r>
              <w:rPr>
                <w:rFonts w:hint="eastAsia" w:eastAsia="楷体_GB2312"/>
                <w:sz w:val="24"/>
              </w:rPr>
              <w:t>电子信息工程2斑</w:t>
            </w:r>
          </w:p>
        </w:tc>
        <w:tc>
          <w:tcPr>
            <w:tcW w:w="1980" w:type="dxa"/>
            <w:gridSpan w:val="3"/>
            <w:tcBorders>
              <w:top w:val="single" w:color="auto" w:sz="4" w:space="0"/>
              <w:left w:val="nil"/>
              <w:bottom w:val="single" w:color="auto" w:sz="4" w:space="0"/>
              <w:right w:val="single" w:color="auto" w:sz="4" w:space="0"/>
            </w:tcBorders>
            <w:vAlign w:val="center"/>
          </w:tcPr>
          <w:p w14:paraId="25CE7B61">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7D6002CA">
            <w:pPr>
              <w:jc w:val="center"/>
              <w:rPr>
                <w:rFonts w:eastAsia="楷体_GB2312"/>
                <w:sz w:val="24"/>
              </w:rPr>
            </w:pPr>
          </w:p>
        </w:tc>
      </w:tr>
      <w:tr w14:paraId="17CD6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712" w:hRule="atLeast"/>
        </w:trPr>
        <w:tc>
          <w:tcPr>
            <w:tcW w:w="420" w:type="dxa"/>
            <w:vMerge w:val="continue"/>
            <w:tcBorders>
              <w:top w:val="nil"/>
              <w:left w:val="single" w:color="auto" w:sz="4" w:space="0"/>
              <w:bottom w:val="single" w:color="auto" w:sz="4" w:space="0"/>
              <w:right w:val="nil"/>
            </w:tcBorders>
            <w:vAlign w:val="center"/>
          </w:tcPr>
          <w:p w14:paraId="346B2108">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0CDF0C5F">
            <w:pPr>
              <w:jc w:val="center"/>
              <w:rPr>
                <w:rFonts w:eastAsia="楷体_GB2312"/>
                <w:sz w:val="24"/>
              </w:rPr>
            </w:pPr>
            <w:r>
              <w:rPr>
                <w:rFonts w:hint="eastAsia" w:eastAsia="楷体_GB2312"/>
                <w:sz w:val="24"/>
              </w:rPr>
              <w:t>林玉晖</w:t>
            </w:r>
          </w:p>
        </w:tc>
        <w:tc>
          <w:tcPr>
            <w:tcW w:w="1440" w:type="dxa"/>
            <w:gridSpan w:val="3"/>
            <w:tcBorders>
              <w:top w:val="single" w:color="auto" w:sz="4" w:space="0"/>
              <w:left w:val="nil"/>
              <w:bottom w:val="single" w:color="auto" w:sz="4" w:space="0"/>
              <w:right w:val="single" w:color="auto" w:sz="4" w:space="0"/>
            </w:tcBorders>
            <w:vAlign w:val="center"/>
          </w:tcPr>
          <w:p w14:paraId="63EA5188">
            <w:pPr>
              <w:jc w:val="center"/>
              <w:rPr>
                <w:rFonts w:eastAsia="楷体_GB2312"/>
                <w:sz w:val="24"/>
              </w:rPr>
            </w:pPr>
            <w:r>
              <w:rPr>
                <w:rFonts w:hint="eastAsia" w:eastAsia="楷体_GB2312"/>
                <w:sz w:val="24"/>
              </w:rPr>
              <w:t>124232024072</w:t>
            </w:r>
          </w:p>
        </w:tc>
        <w:tc>
          <w:tcPr>
            <w:tcW w:w="1800" w:type="dxa"/>
            <w:gridSpan w:val="5"/>
            <w:tcBorders>
              <w:top w:val="single" w:color="auto" w:sz="4" w:space="0"/>
              <w:left w:val="nil"/>
              <w:bottom w:val="single" w:color="auto" w:sz="4" w:space="0"/>
              <w:right w:val="single" w:color="auto" w:sz="4" w:space="0"/>
            </w:tcBorders>
            <w:vAlign w:val="center"/>
          </w:tcPr>
          <w:p w14:paraId="2F46B103">
            <w:pPr>
              <w:jc w:val="center"/>
              <w:rPr>
                <w:rFonts w:eastAsia="楷体_GB2312"/>
                <w:sz w:val="24"/>
              </w:rPr>
            </w:pPr>
            <w:r>
              <w:rPr>
                <w:rFonts w:hint="eastAsia" w:eastAsia="楷体_GB2312"/>
                <w:sz w:val="24"/>
              </w:rPr>
              <w:t>数字媒体技术2班</w:t>
            </w:r>
          </w:p>
        </w:tc>
        <w:tc>
          <w:tcPr>
            <w:tcW w:w="1980" w:type="dxa"/>
            <w:gridSpan w:val="3"/>
            <w:tcBorders>
              <w:top w:val="single" w:color="auto" w:sz="4" w:space="0"/>
              <w:left w:val="nil"/>
              <w:bottom w:val="single" w:color="auto" w:sz="4" w:space="0"/>
              <w:right w:val="single" w:color="auto" w:sz="4" w:space="0"/>
            </w:tcBorders>
            <w:vAlign w:val="center"/>
          </w:tcPr>
          <w:p w14:paraId="46019B6D">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46B48E8C">
            <w:pPr>
              <w:jc w:val="center"/>
              <w:rPr>
                <w:rFonts w:eastAsia="楷体_GB2312"/>
                <w:sz w:val="24"/>
              </w:rPr>
            </w:pPr>
          </w:p>
        </w:tc>
      </w:tr>
    </w:tbl>
    <w:p w14:paraId="3D97714E">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立项依据（可加页）</w:t>
      </w:r>
    </w:p>
    <w:tbl>
      <w:tblPr>
        <w:tblStyle w:val="8"/>
        <w:tblW w:w="871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5"/>
      </w:tblGrid>
      <w:tr w14:paraId="0D2A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00" w:hRule="atLeast"/>
        </w:trPr>
        <w:tc>
          <w:tcPr>
            <w:tcW w:w="8715" w:type="dxa"/>
          </w:tcPr>
          <w:p w14:paraId="75E28F61">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项目简介</w:t>
            </w:r>
          </w:p>
          <w:p w14:paraId="560B112E">
            <w:pPr>
              <w:pStyle w:val="7"/>
              <w:keepNext w:val="0"/>
              <w:keepLines w:val="0"/>
              <w:widowControl/>
              <w:suppressLineNumbers w:val="0"/>
              <w:ind w:firstLine="480" w:firstLineChars="200"/>
              <w:rPr>
                <w:rFonts w:hint="eastAsia" w:ascii="仿宋" w:hAnsi="仿宋" w:eastAsia="仿宋" w:cs="仿宋"/>
              </w:rPr>
            </w:pPr>
            <w:r>
              <w:rPr>
                <w:rFonts w:hint="eastAsia" w:ascii="仿宋" w:hAnsi="仿宋" w:eastAsia="仿宋" w:cs="仿宋"/>
                <w:lang w:val="en-US" w:eastAsia="zh-CN"/>
              </w:rPr>
              <w:t>我国煤矿地区</w:t>
            </w:r>
            <w:r>
              <w:rPr>
                <w:rFonts w:hint="eastAsia" w:ascii="仿宋" w:hAnsi="仿宋" w:eastAsia="仿宋" w:cs="仿宋"/>
              </w:rPr>
              <w:t>煤矿开采深度逐年增加，地应力显著增高、地质构造复杂化、岩性条件劣化，导致顶板灾变风险急剧上升。在煤矿各类事故中，顶板事故的发生起数和死亡人数均居首位，严重威胁矿工生命安全与矿山生产效率。传统 “单点监测、事后分析” 的管控模式，存在监测数据碎片化、多源信息融合困难、预警模型适应性差、可视化程度低、管控响应滞后等痛点，已无法满足</w:t>
            </w:r>
            <w:r>
              <w:rPr>
                <w:rFonts w:hint="eastAsia" w:ascii="仿宋" w:hAnsi="仿宋" w:eastAsia="仿宋" w:cs="仿宋"/>
                <w:lang w:val="en-US" w:eastAsia="zh-CN"/>
              </w:rPr>
              <w:t>我国采矿</w:t>
            </w:r>
            <w:r>
              <w:rPr>
                <w:rFonts w:hint="eastAsia" w:ascii="仿宋" w:hAnsi="仿宋" w:eastAsia="仿宋" w:cs="仿宋"/>
              </w:rPr>
              <w:t>地区煤矿顶板灾害 “实时感知、智能预警、协同管控” 的迫切需求。</w:t>
            </w:r>
          </w:p>
          <w:p w14:paraId="471E0C12">
            <w:pPr>
              <w:pStyle w:val="7"/>
              <w:keepNext w:val="0"/>
              <w:keepLines w:val="0"/>
              <w:widowControl/>
              <w:suppressLineNumbers w:val="0"/>
              <w:ind w:firstLine="480" w:firstLineChars="200"/>
              <w:rPr>
                <w:rFonts w:hint="eastAsia" w:ascii="仿宋" w:hAnsi="仿宋" w:eastAsia="仿宋" w:cs="仿宋"/>
                <w:b w:val="0"/>
                <w:bCs w:val="0"/>
              </w:rPr>
            </w:pPr>
            <w:r>
              <w:rPr>
                <w:rFonts w:hint="eastAsia" w:ascii="仿宋" w:hAnsi="仿宋" w:eastAsia="仿宋" w:cs="仿宋"/>
                <w:b w:val="0"/>
                <w:bCs w:val="0"/>
              </w:rPr>
              <w:t>本项目面向国家 “深地开发” 战略与煤矿智能化建设要求，研发</w:t>
            </w:r>
            <w:r>
              <w:rPr>
                <w:rStyle w:val="10"/>
                <w:rFonts w:hint="eastAsia" w:ascii="仿宋" w:hAnsi="仿宋" w:eastAsia="仿宋" w:cs="仿宋"/>
                <w:b w:val="0"/>
                <w:bCs w:val="0"/>
              </w:rPr>
              <w:t>基于数字孪生的煤矿顶板灾变智能预警与可视化决策系统</w:t>
            </w:r>
            <w:r>
              <w:rPr>
                <w:rFonts w:hint="eastAsia" w:ascii="仿宋" w:hAnsi="仿宋" w:eastAsia="仿宋" w:cs="仿宋"/>
                <w:b w:val="0"/>
                <w:bCs w:val="0"/>
              </w:rPr>
              <w:t>，核心打造</w:t>
            </w:r>
            <w:r>
              <w:rPr>
                <w:rStyle w:val="10"/>
                <w:rFonts w:hint="eastAsia" w:ascii="仿宋" w:hAnsi="仿宋" w:eastAsia="仿宋" w:cs="仿宋"/>
                <w:b w:val="0"/>
                <w:bCs w:val="0"/>
              </w:rPr>
              <w:t>“硬件端全域感知网络 - 软件端智能计算引擎 - VR 数字大屏交互载体” 三端深度互联</w:t>
            </w:r>
            <w:r>
              <w:rPr>
                <w:rFonts w:hint="eastAsia" w:ascii="仿宋" w:hAnsi="仿宋" w:eastAsia="仿宋" w:cs="仿宋"/>
                <w:b w:val="0"/>
                <w:bCs w:val="0"/>
              </w:rPr>
              <w:t>的数字孪生技术体系。项目围绕感知透明化、管控协同化与可视化、标准与集成化三大核心需求，以硬件端实现巷道顶板应力、位移、微震等多参量的全域实时采集，以软件端承载多源数据融合、灾变智能预警与数字孪生模型驱动，以 VR 数字大屏实现沉浸式三维可视化、灾变场景推演与人机交互决策；同时构建覆盖 “企业端 - 智库端 - 监管端” 的三级协同管控体系，打通煤矿各类监测系统的信息孤岛，推动顶板安全管理从 “被动防治” 向 “主动透明防控” 转变。</w:t>
            </w:r>
          </w:p>
          <w:p w14:paraId="0D5173BB">
            <w:pPr>
              <w:pStyle w:val="7"/>
              <w:keepNext w:val="0"/>
              <w:keepLines w:val="0"/>
              <w:widowControl/>
              <w:suppressLineNumbers w:val="0"/>
              <w:ind w:firstLine="480" w:firstLineChars="200"/>
              <w:rPr>
                <w:rFonts w:hint="eastAsia" w:ascii="宋体" w:hAnsi="宋体"/>
                <w:b/>
                <w:bCs/>
                <w:sz w:val="24"/>
              </w:rPr>
            </w:pPr>
            <w:r>
              <w:rPr>
                <w:rFonts w:hint="eastAsia" w:ascii="仿宋" w:hAnsi="仿宋" w:eastAsia="仿宋" w:cs="仿宋"/>
                <w:b w:val="0"/>
                <w:bCs w:val="0"/>
              </w:rPr>
              <w:t>项目成果可直接服务</w:t>
            </w:r>
            <w:r>
              <w:rPr>
                <w:rFonts w:hint="eastAsia" w:ascii="仿宋" w:hAnsi="仿宋" w:eastAsia="仿宋" w:cs="仿宋"/>
                <w:b w:val="0"/>
                <w:bCs w:val="0"/>
                <w:lang w:val="en-US" w:eastAsia="zh-CN"/>
              </w:rPr>
              <w:t>我国采矿地区的</w:t>
            </w:r>
            <w:r>
              <w:rPr>
                <w:rFonts w:hint="eastAsia" w:ascii="仿宋" w:hAnsi="仿宋" w:eastAsia="仿宋" w:cs="仿宋"/>
                <w:b w:val="0"/>
                <w:bCs w:val="0"/>
              </w:rPr>
              <w:t>煤矿安全生产，大幅降低顶板事故发生率，减少非计划停产与设备损毁成本；同时推动数字孪生、VR 可视化、智能传感等技术在煤矿安全领域的深度落地，技术原理与平台架构经适配后可推广至金</w:t>
            </w:r>
            <w:r>
              <w:rPr>
                <w:rFonts w:hint="eastAsia" w:ascii="仿宋" w:hAnsi="仿宋" w:eastAsia="仿宋" w:cs="仿宋"/>
              </w:rPr>
              <w:t>属矿、隧道工程等地下工程领域，具备显著的社会效益、经济效益与广阔的应用前景。</w:t>
            </w:r>
          </w:p>
          <w:p w14:paraId="08D18223">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研究目的</w:t>
            </w:r>
          </w:p>
          <w:p w14:paraId="3CFCFA51">
            <w:pPr>
              <w:numPr>
                <w:ilvl w:val="0"/>
                <w:numId w:val="0"/>
              </w:numPr>
              <w:tabs>
                <w:tab w:val="left" w:pos="792"/>
              </w:tabs>
              <w:snapToGrid w:val="0"/>
              <w:spacing w:before="156" w:beforeLines="50" w:after="156" w:afterLines="50" w:line="300" w:lineRule="auto"/>
              <w:ind w:leftChars="0" w:firstLine="480" w:firstLineChars="200"/>
              <w:rPr>
                <w:rFonts w:hint="eastAsia" w:ascii="仿宋_GB2312" w:hAnsi="宋体" w:eastAsia="仿宋_GB2312"/>
                <w:b/>
                <w:bCs/>
                <w:sz w:val="24"/>
              </w:rPr>
            </w:pPr>
            <w:r>
              <w:rPr>
                <w:rFonts w:hint="eastAsia" w:ascii="仿宋" w:hAnsi="仿宋" w:eastAsia="仿宋" w:cs="仿宋"/>
                <w:b w:val="0"/>
                <w:bCs w:val="0"/>
                <w:sz w:val="24"/>
                <w:szCs w:val="24"/>
              </w:rPr>
              <w:t>本项目的核心研究目的，旨在攻克煤矿顶板灾变场景下虚实融合的数字孪生管控技术，并构建一套可落地的巷道顶板安全智能预警平台。我们将搭建 “硬件端感知层 - 软件端计算层 - VR 数字大屏交互层” 三端互联的数字孪生三级架构，打通多源监测数据、孪生模型计算、可视化交互全链路，实现虚实同步、双向联动的闭环管控；针对国内煤矿复杂地质开采条件，优化传感器选型与布设方案，搭建多维度全覆盖顶板监测网络，实现采掘巷道顶板应力场、位移场的全域实时感知，解决传统单点监测数据零散、信息不全的痛点；依托软件端智能计算引擎，融合顶板灾变力学机理与多源监测数据，构建高适配、高准确率的智能预警模型，建立分级预警指标与阈值体系，实现顶板灾害超前识别与精准预警，改善传统预警模型适应性弱、误报率偏高的问题；以 VR 数字大屏作为核心交互载体，实现巷道顶板孪生模型沉浸式三维展示、灾变演化动态推演、应急方案可视化交互，支撑多方主体协同研判，提升安全管控响应速度；设计面向顶板灾变预警的标准化数据接口，实现硬件、软件、大屏之间的数据互通，完成与煤矿现有安全监控、生产系统的集成对接，构建 “企业端 - 智库端 - 监管端” 三级协同管控机制，提升矿山现代化治理水平；推动数字孪生、VR 可视化、大数据、智能传感等技术在煤矿安全领域深度落地，助力煤矿顶板安全管理向着数字化、智能化、可视化方向升级</w:t>
            </w:r>
            <w:r>
              <w:rPr>
                <w:rFonts w:hint="eastAsia" w:ascii="仿宋" w:hAnsi="仿宋" w:eastAsia="仿宋" w:cs="仿宋"/>
                <w:b w:val="0"/>
                <w:bCs w:val="0"/>
                <w:sz w:val="24"/>
              </w:rPr>
              <w:t>研究内容</w:t>
            </w:r>
          </w:p>
          <w:p w14:paraId="501BBCE8">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研究内容</w:t>
            </w:r>
          </w:p>
          <w:p w14:paraId="4E26568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本项目</w:t>
            </w:r>
            <w:r>
              <w:rPr>
                <w:rFonts w:hint="eastAsia" w:ascii="仿宋" w:hAnsi="仿宋" w:eastAsia="仿宋" w:cs="仿宋"/>
                <w:b w:val="0"/>
                <w:bCs w:val="0"/>
                <w:sz w:val="24"/>
                <w:lang w:val="en-US" w:eastAsia="zh-CN"/>
              </w:rPr>
              <w:t>的研究是</w:t>
            </w:r>
            <w:r>
              <w:rPr>
                <w:rFonts w:hint="eastAsia" w:ascii="仿宋" w:hAnsi="仿宋" w:eastAsia="仿宋" w:cs="仿宋"/>
                <w:b w:val="0"/>
                <w:bCs w:val="0"/>
                <w:sz w:val="24"/>
              </w:rPr>
              <w:t>围绕煤矿巷道顶板灾变防治的三大核心需求</w:t>
            </w:r>
            <w:r>
              <w:rPr>
                <w:rFonts w:hint="eastAsia" w:ascii="仿宋" w:hAnsi="仿宋" w:eastAsia="仿宋" w:cs="仿宋"/>
                <w:b w:val="0"/>
                <w:bCs w:val="0"/>
                <w:sz w:val="24"/>
                <w:lang w:eastAsia="zh-CN"/>
              </w:rPr>
              <w:t>：</w:t>
            </w:r>
            <w:r>
              <w:rPr>
                <w:rFonts w:hint="eastAsia" w:ascii="仿宋" w:hAnsi="仿宋" w:eastAsia="仿宋" w:cs="仿宋"/>
                <w:b w:val="0"/>
                <w:bCs w:val="0"/>
                <w:sz w:val="24"/>
              </w:rPr>
              <w:t>感知透明化、管控协同化与可视化、标准与集成化，开展以下五方面研究。</w:t>
            </w:r>
          </w:p>
          <w:p w14:paraId="7C14FB4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1. </w:t>
            </w:r>
            <w:r>
              <w:rPr>
                <w:rFonts w:hint="eastAsia" w:ascii="仿宋" w:hAnsi="仿宋" w:eastAsia="仿宋" w:cs="仿宋"/>
                <w:b w:val="0"/>
                <w:bCs w:val="0"/>
                <w:sz w:val="24"/>
                <w:lang w:val="en-US" w:eastAsia="zh-CN"/>
              </w:rPr>
              <w:t>对于</w:t>
            </w:r>
            <w:r>
              <w:rPr>
                <w:rFonts w:hint="eastAsia" w:ascii="仿宋" w:hAnsi="仿宋" w:eastAsia="仿宋" w:cs="仿宋"/>
                <w:b w:val="0"/>
                <w:bCs w:val="0"/>
                <w:sz w:val="24"/>
              </w:rPr>
              <w:t>复杂地质巷道多维度风险监测</w:t>
            </w:r>
            <w:r>
              <w:rPr>
                <w:rFonts w:hint="eastAsia" w:ascii="仿宋" w:hAnsi="仿宋" w:eastAsia="仿宋" w:cs="仿宋"/>
                <w:b w:val="0"/>
                <w:bCs w:val="0"/>
                <w:sz w:val="24"/>
                <w:lang w:eastAsia="zh-CN"/>
              </w:rPr>
              <w:t>。</w:t>
            </w:r>
            <w:r>
              <w:rPr>
                <w:rFonts w:hint="eastAsia" w:ascii="仿宋" w:hAnsi="仿宋" w:eastAsia="仿宋" w:cs="仿宋"/>
                <w:b w:val="0"/>
                <w:bCs w:val="0"/>
                <w:sz w:val="24"/>
              </w:rPr>
              <w:t>传统单点监测覆盖不足，难以反映采掘工作面与回采巷道的顶板风险。本研究按灾变类型分三层布设监测参量，不平均用力。第一层是支架阻力和顶板位移，直接对应来压与下沉，布设在综采工作面中部 200 m 范围。第二层是锚杆载荷，只在回采巷道布设</w:t>
            </w:r>
            <w:r>
              <w:rPr>
                <w:rFonts w:hint="eastAsia" w:ascii="仿宋" w:hAnsi="仿宋" w:eastAsia="仿宋" w:cs="仿宋"/>
                <w:b w:val="0"/>
                <w:bCs w:val="0"/>
                <w:sz w:val="24"/>
                <w:lang w:eastAsia="zh-CN"/>
              </w:rPr>
              <w:t>。</w:t>
            </w:r>
            <w:r>
              <w:rPr>
                <w:rFonts w:hint="eastAsia" w:ascii="仿宋" w:hAnsi="仿宋" w:eastAsia="仿宋" w:cs="仿宋"/>
                <w:b w:val="0"/>
                <w:bCs w:val="0"/>
                <w:sz w:val="24"/>
              </w:rPr>
              <w:t>第三层是岩溶水压和环境量</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水压、温度</w:t>
            </w:r>
            <w:r>
              <w:rPr>
                <w:rFonts w:hint="eastAsia" w:ascii="仿宋" w:hAnsi="仿宋" w:eastAsia="仿宋" w:cs="仿宋"/>
                <w:b w:val="0"/>
                <w:bCs w:val="0"/>
                <w:sz w:val="24"/>
              </w:rPr>
              <w:t>与 CO₂/SO₂</w:t>
            </w:r>
            <w:r>
              <w:rPr>
                <w:rFonts w:hint="eastAsia" w:ascii="仿宋" w:hAnsi="仿宋" w:eastAsia="仿宋" w:cs="仿宋"/>
                <w:b w:val="0"/>
                <w:bCs w:val="0"/>
                <w:sz w:val="24"/>
                <w:lang w:val="en-US" w:eastAsia="zh-CN"/>
              </w:rPr>
              <w:t>等有害气体）</w:t>
            </w:r>
            <w:r>
              <w:rPr>
                <w:rFonts w:hint="eastAsia" w:ascii="仿宋" w:hAnsi="仿宋" w:eastAsia="仿宋" w:cs="仿宋"/>
                <w:b w:val="0"/>
                <w:bCs w:val="0"/>
                <w:sz w:val="24"/>
              </w:rPr>
              <w:t>，属针对性补充。</w:t>
            </w:r>
            <w:r>
              <w:rPr>
                <w:rFonts w:hint="eastAsia" w:ascii="仿宋" w:hAnsi="仿宋" w:eastAsia="仿宋" w:cs="仿宋"/>
                <w:b w:val="0"/>
                <w:bCs w:val="0"/>
                <w:sz w:val="24"/>
                <w:lang w:val="en-US" w:eastAsia="zh-CN"/>
              </w:rPr>
              <w:t>而监测采集到的数据</w:t>
            </w:r>
            <w:r>
              <w:rPr>
                <w:rFonts w:hint="eastAsia" w:ascii="仿宋" w:hAnsi="仿宋" w:eastAsia="仿宋" w:cs="仿宋"/>
                <w:b w:val="0"/>
                <w:bCs w:val="0"/>
                <w:sz w:val="24"/>
              </w:rPr>
              <w:t>经 RS485 汇总到巷道口汇聚节点，再用 LoRa 回传至边缘网关</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确保数据传递的稳定性，避免数据丢失导致忽略灾难前兆</w:t>
            </w:r>
            <w:r>
              <w:rPr>
                <w:rFonts w:hint="eastAsia" w:ascii="仿宋" w:hAnsi="仿宋" w:eastAsia="仿宋" w:cs="仿宋"/>
                <w:b w:val="0"/>
                <w:bCs w:val="0"/>
                <w:sz w:val="24"/>
              </w:rPr>
              <w:t>。</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【图2 占位框】</w:t>
                  </w:r>
                </w:p>
                <w:p>
                  <w:pPr>
                    <w:jc w:val="center"/>
                  </w:pPr>
                  <w:r>
                    <w:rPr>
                      <w:rFonts w:ascii="仿宋" w:hAnsi="仿宋" w:eastAsia="仿宋"/>
                      <w:b w:val="0"/>
                      <w:color w:val="A0A0A0"/>
                      <w:sz w:val="21"/>
                    </w:rPr>
                    <w:t>建议尺寸：宽 14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图2  硬件系统总体框图</w:t>
            </w:r>
          </w:p>
          <w:p>
            <w:pPr>
              <w:spacing w:line="360" w:lineRule="auto" w:before="0" w:after="0"/>
              <w:jc w:val="center"/>
            </w:pPr>
            <w:r>
              <w:rPr>
                <w:rFonts w:ascii="仿宋" w:hAnsi="仿宋" w:eastAsia="仿宋" w:cs="仿宋" w:hint="eastAsia"/>
                <w:sz w:val="24"/>
                <w:szCs w:val="24"/>
              </w:rPr>
              <w:t>硬件层完成"采集—汇集—回传—就地执行"四段流程，是预警闭环的执行末端而非单纯采集源。</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【图3 占位框】</w:t>
                  </w:r>
                </w:p>
                <w:p>
                  <w:pPr>
                    <w:jc w:val="center"/>
                  </w:pPr>
                  <w:r>
                    <w:rPr>
                      <w:rFonts w:ascii="仿宋" w:hAnsi="仿宋" w:eastAsia="仿宋"/>
                      <w:b w:val="0"/>
                      <w:color w:val="A0A0A0"/>
                      <w:sz w:val="21"/>
                    </w:rPr>
                    <w:t>建议尺寸：宽 15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图3  监测点位布设平面示意图（四组 11 个以上测点）</w:t>
            </w:r>
          </w:p>
          <w:p>
            <w:pPr>
              <w:spacing w:line="360" w:lineRule="auto" w:before="0" w:after="0"/>
              <w:jc w:val="center"/>
            </w:pPr>
            <w:r>
              <w:rPr>
                <w:rFonts w:ascii="仿宋" w:hAnsi="仿宋" w:eastAsia="仿宋" w:cs="仿宋" w:hint="eastAsia"/>
                <w:sz w:val="24"/>
                <w:szCs w:val="24"/>
              </w:rPr>
              <w:t>按灾变类型分三层布设、不平均用力；岩溶区专项增设顶板钻孔承压水监测通道，水压与震动参量纳入耦合特征。</w:t>
            </w:r>
          </w:p>
          <w:p>
            <w:pPr>
              <w:spacing w:line="360" w:lineRule="auto" w:before="0" w:after="0"/>
              <w:ind w:firstLine="480"/>
            </w:pPr>
            <w:r>
              <w:rPr>
                <w:rFonts w:ascii="仿宋" w:hAnsi="仿宋" w:eastAsia="仿宋" w:cs="仿宋" w:hint="eastAsia"/>
                <w:sz w:val="24"/>
                <w:szCs w:val="24"/>
              </w:rPr>
              <w:t>锚杆载荷由贴片应变经式（1）换算，作为第二层巷道监测的基础量。</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ε = (ΔR / R) / K</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σ = E · ε</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F = σ · A</w:t>
            </w:r>
            <w:r>
              <w:rPr>
                <w:rFonts w:ascii="仿宋" w:hAnsi="仿宋" w:eastAsia="仿宋" w:cs="仿宋" w:hint="eastAsia"/>
                <w:sz w:val="24"/>
                <w:szCs w:val="24"/>
              </w:rPr>
              <w:tab/>
            </w:r>
            <w:r>
              <w:rPr>
                <w:rFonts w:ascii="仿宋" w:hAnsi="仿宋" w:eastAsia="仿宋" w:cs="仿宋" w:hint="eastAsia"/>
                <w:sz w:val="24"/>
                <w:szCs w:val="24"/>
              </w:rPr>
              <w:t>（1）</w:t>
            </w:r>
          </w:p>
          <w:p>
            <w:pPr>
              <w:spacing w:line="360" w:lineRule="auto" w:before="0" w:after="0"/>
              <w:ind w:firstLine="480"/>
            </w:pPr>
            <w:r>
              <w:rPr>
                <w:rFonts w:ascii="仿宋" w:hAnsi="仿宋" w:eastAsia="仿宋" w:cs="仿宋" w:hint="eastAsia"/>
                <w:sz w:val="24"/>
                <w:szCs w:val="24"/>
              </w:rPr>
              <w:t>变量：K 为应变片灵敏度系数；ΔR/R 为相对电阻变化；E 为锚杆弹性模量；A 为锚杆截面积；F 为锚杆载荷（kN）。</w:t>
            </w:r>
          </w:p>
          <w:p>
            <w:pPr>
              <w:spacing w:line="360" w:lineRule="auto" w:before="0" w:after="0"/>
              <w:ind w:firstLine="480"/>
            </w:pPr>
            <w:r>
              <w:rPr>
                <w:rFonts w:ascii="仿宋" w:hAnsi="仿宋" w:eastAsia="仿宋" w:cs="仿宋" w:hint="eastAsia"/>
                <w:sz w:val="24"/>
                <w:szCs w:val="24"/>
              </w:rPr>
              <w:t>式（2）超声波测距与温度补偿（对应"顶板位移"）</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d = v · t / 2</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v = 331.4 + 0.607 T</w:t>
            </w:r>
            <w:r>
              <w:rPr>
                <w:rFonts w:ascii="仿宋" w:hAnsi="仿宋" w:eastAsia="仿宋" w:cs="仿宋" w:hint="eastAsia"/>
                <w:sz w:val="24"/>
                <w:szCs w:val="24"/>
              </w:rPr>
              <w:tab/>
            </w:r>
            <w:r>
              <w:rPr>
                <w:rFonts w:ascii="仿宋" w:hAnsi="仿宋" w:eastAsia="仿宋" w:cs="仿宋" w:hint="eastAsia"/>
                <w:sz w:val="24"/>
                <w:szCs w:val="24"/>
              </w:rPr>
              <w:t>（2）</w:t>
            </w:r>
          </w:p>
          <w:p>
            <w:pPr>
              <w:spacing w:line="360" w:lineRule="auto" w:before="0" w:after="0"/>
              <w:ind w:firstLine="480"/>
            </w:pPr>
            <w:r>
              <w:rPr>
                <w:rFonts w:ascii="仿宋" w:hAnsi="仿宋" w:eastAsia="仿宋" w:cs="仿宋" w:hint="eastAsia"/>
                <w:sz w:val="24"/>
                <w:szCs w:val="24"/>
              </w:rPr>
              <w:t>变量：t 为超声波往返时延（s）；T 为环境温度（℃）；v 为声速（m/s）；d 为顶板位移（m）。</w:t>
            </w:r>
          </w:p>
          <w:p>
            <w:pPr>
              <w:spacing w:line="360" w:lineRule="auto" w:before="0" w:after="0"/>
              <w:ind w:firstLine="480"/>
            </w:pPr>
            <w:r>
              <w:rPr>
                <w:rFonts w:ascii="仿宋" w:hAnsi="仿宋" w:eastAsia="仿宋" w:cs="仿宋" w:hint="eastAsia"/>
                <w:sz w:val="24"/>
                <w:szCs w:val="24"/>
              </w:rPr>
              <w:t>液位与承压水头由式（3）两点标定得到，标定系数随终端下行并写入系数表，实现阈值热更新。</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h = h₀ + k · (N − N₀), k = (h₁ − h₀) / (N₁ − N₀)</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H = p / (ρ · g)</w:t>
            </w:r>
            <w:r>
              <w:rPr>
                <w:rFonts w:ascii="仿宋" w:hAnsi="仿宋" w:eastAsia="仿宋" w:cs="仿宋" w:hint="eastAsia"/>
                <w:sz w:val="24"/>
                <w:szCs w:val="24"/>
              </w:rPr>
              <w:tab/>
            </w:r>
            <w:r>
              <w:rPr>
                <w:rFonts w:ascii="仿宋" w:hAnsi="仿宋" w:eastAsia="仿宋" w:cs="仿宋" w:hint="eastAsia"/>
                <w:sz w:val="24"/>
                <w:szCs w:val="24"/>
              </w:rPr>
              <w:t>（3）</w:t>
            </w:r>
          </w:p>
          <w:p>
            <w:pPr>
              <w:spacing w:line="360" w:lineRule="auto" w:before="0" w:after="0"/>
              <w:ind w:firstLine="480"/>
            </w:pPr>
            <w:r>
              <w:rPr>
                <w:rFonts w:ascii="仿宋" w:hAnsi="仿宋" w:eastAsia="仿宋" w:cs="仿宋" w:hint="eastAsia"/>
                <w:sz w:val="24"/>
                <w:szCs w:val="24"/>
              </w:rPr>
              <w:t>变量：N 为采集通道读数（ADC 码值或 4–20 mA 换算电流）；h₀、N₀ 为标定零点；k 为标定斜率；p 为承压水压（Pa）；ρ 为水密度；g 为重力加速度；H 为水头（m）。</w:t>
            </w:r>
          </w:p>
          <w:p>
            <w:pPr>
              <w:spacing w:line="360" w:lineRule="auto" w:before="0" w:after="0"/>
              <w:ind w:firstLine="480"/>
            </w:pPr>
            <w:r>
              <w:rPr>
                <w:rFonts w:ascii="仿宋" w:hAnsi="仿宋" w:eastAsia="仿宋" w:cs="仿宋" w:hint="eastAsia"/>
                <w:sz w:val="24"/>
                <w:szCs w:val="24"/>
              </w:rPr>
              <w:t>式（4）MQ2 可燃气体浓度换算</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Rs = (Vcc − Vout) / Vout · RL</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ppm = a · (Rs / R0)^b</w:t>
            </w:r>
            <w:r>
              <w:rPr>
                <w:rFonts w:ascii="仿宋" w:hAnsi="仿宋" w:eastAsia="仿宋" w:cs="仿宋" w:hint="eastAsia"/>
                <w:sz w:val="24"/>
                <w:szCs w:val="24"/>
              </w:rPr>
              <w:tab/>
            </w:r>
            <w:r>
              <w:rPr>
                <w:rFonts w:ascii="仿宋" w:hAnsi="仿宋" w:eastAsia="仿宋" w:cs="仿宋" w:hint="eastAsia"/>
                <w:sz w:val="24"/>
                <w:szCs w:val="24"/>
              </w:rPr>
              <w:t>（4）</w:t>
            </w:r>
          </w:p>
          <w:p>
            <w:pPr>
              <w:spacing w:line="360" w:lineRule="auto" w:before="0" w:after="0"/>
              <w:ind w:firstLine="480"/>
            </w:pPr>
            <w:r>
              <w:rPr>
                <w:rFonts w:ascii="仿宋" w:hAnsi="仿宋" w:eastAsia="仿宋" w:cs="仿宋" w:hint="eastAsia"/>
                <w:sz w:val="24"/>
                <w:szCs w:val="24"/>
              </w:rPr>
              <w:t>变量：Rs 为传感器电阻；R0 为洁净空气基准电阻；RL 为负载电阻；a、b 为标定常数。</w:t>
            </w:r>
          </w:p>
          <w:p>
            <w:pPr>
              <w:spacing w:line="360" w:lineRule="auto" w:before="0" w:after="0"/>
              <w:ind w:firstLine="480"/>
            </w:pPr>
            <w:r>
              <w:rPr>
                <w:rFonts w:ascii="仿宋" w:hAnsi="仿宋" w:eastAsia="仿宋" w:cs="仿宋" w:hint="eastAsia"/>
                <w:sz w:val="24"/>
                <w:szCs w:val="24"/>
              </w:rPr>
              <w:t>薄膜压力与 FSR 系数按式（5）在实物标定中逐路拟合，取代出厂经验值。</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Rfsr = Rf · (Vcc − Vout) / Vout</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F = c · Rfsr^(−d)</w:t>
            </w:r>
            <w:r>
              <w:rPr>
                <w:rFonts w:ascii="仿宋" w:hAnsi="仿宋" w:eastAsia="仿宋" w:cs="仿宋" w:hint="eastAsia"/>
                <w:sz w:val="24"/>
                <w:szCs w:val="24"/>
              </w:rPr>
              <w:tab/>
            </w:r>
            <w:r>
              <w:rPr>
                <w:rFonts w:ascii="仿宋" w:hAnsi="仿宋" w:eastAsia="仿宋" w:cs="仿宋" w:hint="eastAsia"/>
                <w:sz w:val="24"/>
                <w:szCs w:val="24"/>
              </w:rPr>
              <w:t>（5）</w:t>
            </w:r>
          </w:p>
          <w:p>
            <w:pPr>
              <w:spacing w:line="360" w:lineRule="auto" w:before="0" w:after="0"/>
              <w:ind w:firstLine="480"/>
            </w:pPr>
            <w:r>
              <w:rPr>
                <w:rFonts w:ascii="仿宋" w:hAnsi="仿宋" w:eastAsia="仿宋" w:cs="仿宋" w:hint="eastAsia"/>
                <w:sz w:val="24"/>
                <w:szCs w:val="24"/>
              </w:rPr>
              <w:t>变量：Rf 为分压电阻；c、d 为幂律拟合系数，由实物标定逐路拟合得到。</w:t>
            </w:r>
          </w:p>
          <w:p w14:paraId="2AADCEB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2.</w:t>
            </w:r>
            <w:r>
              <w:rPr>
                <w:rFonts w:hint="eastAsia" w:ascii="仿宋" w:hAnsi="仿宋" w:eastAsia="仿宋" w:cs="仿宋"/>
                <w:b w:val="0"/>
                <w:bCs w:val="0"/>
                <w:sz w:val="24"/>
                <w:lang w:val="en-US" w:eastAsia="zh-CN"/>
              </w:rPr>
              <w:t xml:space="preserve"> 对</w:t>
            </w:r>
            <w:r>
              <w:rPr>
                <w:rFonts w:hint="eastAsia" w:ascii="仿宋" w:hAnsi="仿宋" w:eastAsia="仿宋" w:cs="仿宋"/>
                <w:b w:val="0"/>
                <w:bCs w:val="0"/>
                <w:sz w:val="24"/>
              </w:rPr>
              <w:t>机理与数据双驱动的顶板灾变分级预警</w:t>
            </w:r>
            <w:r>
              <w:rPr>
                <w:rFonts w:hint="eastAsia" w:ascii="仿宋" w:hAnsi="仿宋" w:eastAsia="仿宋" w:cs="仿宋"/>
                <w:b w:val="0"/>
                <w:bCs w:val="0"/>
                <w:sz w:val="24"/>
                <w:lang w:eastAsia="zh-CN"/>
              </w:rPr>
              <w:t>。</w:t>
            </w:r>
            <w:r>
              <w:rPr>
                <w:rFonts w:hint="eastAsia" w:ascii="仿宋" w:hAnsi="仿宋" w:eastAsia="仿宋" w:cs="仿宋"/>
                <w:b w:val="0"/>
                <w:bCs w:val="0"/>
                <w:sz w:val="24"/>
              </w:rPr>
              <w:t>传统预警模型适应性差、误报率偏高，问题出在机理与数据脱节。本研究先把顶板失稳的力学机理转成可计算特征与可执行判据</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从多维度（</w:t>
            </w:r>
            <w:r>
              <w:rPr>
                <w:rFonts w:hint="eastAsia" w:ascii="仿宋" w:hAnsi="仿宋" w:eastAsia="仿宋" w:cs="仿宋"/>
                <w:b w:val="0"/>
                <w:bCs w:val="0"/>
                <w:sz w:val="24"/>
              </w:rPr>
              <w:t>应力</w:t>
            </w:r>
            <w:r>
              <w:rPr>
                <w:rFonts w:hint="eastAsia" w:ascii="仿宋" w:hAnsi="仿宋" w:eastAsia="仿宋" w:cs="仿宋"/>
                <w:b w:val="0"/>
                <w:bCs w:val="0"/>
                <w:sz w:val="24"/>
                <w:lang w:eastAsia="zh-CN"/>
              </w:rPr>
              <w:t>、</w:t>
            </w:r>
            <w:r>
              <w:rPr>
                <w:rFonts w:hint="eastAsia" w:ascii="仿宋" w:hAnsi="仿宋" w:eastAsia="仿宋" w:cs="仿宋"/>
                <w:b w:val="0"/>
                <w:bCs w:val="0"/>
                <w:sz w:val="24"/>
              </w:rPr>
              <w:t>位移、岩溶水压、震动、锚杆变形、环境量</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设置</w:t>
            </w:r>
            <w:r>
              <w:rPr>
                <w:rFonts w:hint="eastAsia" w:ascii="仿宋" w:hAnsi="仿宋" w:eastAsia="仿宋" w:cs="仿宋"/>
                <w:b w:val="0"/>
                <w:bCs w:val="0"/>
                <w:sz w:val="24"/>
              </w:rPr>
              <w:t>参量临界基准，构建威胁度。模型采用多场耦合融合逻辑回归（MCFLR），输出灾变概率与黄、橙、红三级决策。阈值工作点当前取 0.70，是在漏报与误报之间取的工程可接受平衡，不是理论最优。模型支持基于真实回流数据的重训练：增量超过 200 条自动触发，参数持久化保存，以改善现场适应性。</w:t>
            </w:r>
          </w:p>
          <w:p w14:paraId="0363BF47">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数字孪生驱动的透明感知与交互决策</w:t>
            </w:r>
            <w:r>
              <w:rPr>
                <w:rFonts w:hint="eastAsia" w:ascii="仿宋" w:hAnsi="仿宋" w:eastAsia="仿宋" w:cs="仿宋"/>
                <w:b w:val="0"/>
                <w:bCs w:val="0"/>
                <w:sz w:val="24"/>
                <w:lang w:eastAsia="zh-CN"/>
              </w:rPr>
              <w:t>。</w:t>
            </w:r>
            <w:r>
              <w:rPr>
                <w:rFonts w:hint="eastAsia" w:ascii="仿宋" w:hAnsi="仿宋" w:eastAsia="仿宋" w:cs="仿宋"/>
                <w:b w:val="0"/>
                <w:bCs w:val="0"/>
                <w:sz w:val="24"/>
              </w:rPr>
              <w:t>以综合态势大屏为核心，构建矿山总览、应力场、位移场、地质构造、监测网络、预警点位六个图层，把监测数据实时映射为工作面与巷道的应力/位移云图与测点曲线</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确保数据的准确性</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结合数据变化进行推演矿道情况变化趋势，</w:t>
            </w:r>
            <w:r>
              <w:rPr>
                <w:rFonts w:hint="eastAsia" w:ascii="仿宋" w:hAnsi="仿宋" w:eastAsia="仿宋" w:cs="仿宋"/>
                <w:b w:val="0"/>
                <w:bCs w:val="0"/>
                <w:sz w:val="24"/>
              </w:rPr>
              <w:t>同时以动画还原 LoRa 数据从测点经网关上行至平台的传输路径，帮助值班人员理解风险演化。</w:t>
            </w:r>
          </w:p>
          <w:p>
            <w:pPr>
              <w:spacing w:line="360" w:lineRule="auto" w:before="0" w:after="0"/>
              <w:ind w:firstLine="480"/>
            </w:pPr>
            <w:r>
              <w:rPr>
                <w:rFonts w:ascii="仿宋" w:hAnsi="仿宋" w:eastAsia="仿宋" w:cs="仿宋" w:hint="eastAsia"/>
                <w:sz w:val="24"/>
                <w:szCs w:val="24"/>
              </w:rPr>
              <w:t>式（16）趋势推演</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最小二乘：ŷ_t = a + b · t, b = Σ (tᵢ − t̄)(yᵢ − ȳ) / Σ (tᵢ − t̄)²</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指数平滑：ŝ_t = α · x_t + (1 − α) · ŝ_(t−1)</w:t>
            </w:r>
            <w:r>
              <w:rPr>
                <w:rFonts w:ascii="仿宋" w:hAnsi="仿宋" w:eastAsia="仿宋" w:cs="仿宋" w:hint="eastAsia"/>
                <w:sz w:val="24"/>
                <w:szCs w:val="24"/>
              </w:rPr>
              <w:tab/>
            </w:r>
            <w:r>
              <w:rPr>
                <w:rFonts w:ascii="仿宋" w:hAnsi="仿宋" w:eastAsia="仿宋" w:cs="仿宋" w:hint="eastAsia"/>
                <w:sz w:val="24"/>
                <w:szCs w:val="24"/>
              </w:rPr>
              <w:t>（16）</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4536" w:hRule="atLeast"/>
              </w:trPr>
              <w:tc>
                <w:tcPr>
                  <w:tcW w:type="dxa" w:w="8499"/>
                </w:tcPr>
                <w:p>
                  <w:pPr>
                    <w:spacing w:line="360" w:lineRule="auto"/>
                    <w:jc w:val="center"/>
                  </w:pPr>
                  <w:r>
                    <w:rPr>
                      <w:rFonts w:ascii="仿宋" w:hAnsi="仿宋" w:eastAsia="仿宋"/>
                      <w:b/>
                      <w:color w:val="A0A0A0"/>
                      <w:sz w:val="28"/>
                    </w:rPr>
                    <w:t>【图11 占位框】</w:t>
                  </w:r>
                </w:p>
                <w:p>
                  <w:pPr>
                    <w:jc w:val="center"/>
                  </w:pPr>
                  <w:r>
                    <w:rPr>
                      <w:rFonts w:ascii="仿宋" w:hAnsi="仿宋" w:eastAsia="仿宋"/>
                      <w:b w:val="0"/>
                      <w:color w:val="A0A0A0"/>
                      <w:sz w:val="21"/>
                    </w:rPr>
                    <w:t>建议尺寸：宽 14 cm × 高 8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图11  数字孪生六图层与交互推演流程图</w:t>
            </w:r>
          </w:p>
          <w:p>
            <w:pPr>
              <w:spacing w:line="360" w:lineRule="auto" w:before="0" w:after="0"/>
              <w:jc w:val="center"/>
            </w:pPr>
            <w:r>
              <w:rPr>
                <w:rFonts w:ascii="仿宋" w:hAnsi="仿宋" w:eastAsia="仿宋" w:cs="仿宋" w:hint="eastAsia"/>
                <w:sz w:val="24"/>
                <w:szCs w:val="24"/>
              </w:rPr>
              <w:t>把顶板失稳从数表里的数字变成肉眼可见的演化过程，支撑多方联合研判。</w:t>
            </w:r>
          </w:p>
          <w:p w14:paraId="69926BD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4.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标准化数据接口与三级协同管控</w:t>
            </w:r>
            <w:r>
              <w:rPr>
                <w:rFonts w:hint="eastAsia" w:ascii="仿宋" w:hAnsi="仿宋" w:eastAsia="仿宋" w:cs="仿宋"/>
                <w:b w:val="0"/>
                <w:bCs w:val="0"/>
                <w:sz w:val="24"/>
                <w:lang w:eastAsia="zh-CN"/>
              </w:rPr>
              <w:t>。</w:t>
            </w:r>
            <w:r>
              <w:rPr>
                <w:rFonts w:hint="eastAsia" w:ascii="仿宋" w:hAnsi="仿宋" w:eastAsia="仿宋" w:cs="仿宋"/>
                <w:b w:val="0"/>
                <w:bCs w:val="0"/>
                <w:sz w:val="24"/>
              </w:rPr>
              <w:t>本研究制定统一的数据接入与交互标准。上行以MQTT承载传感器时序数据，QoS 1、通配订阅；下行以 /cmd、/thr、/status 承载指令与阈值配置，配合 retain 与遗嘱消息保障链路可靠。</w:t>
            </w:r>
            <w:r>
              <w:rPr>
                <w:rFonts w:hint="eastAsia" w:ascii="仿宋" w:hAnsi="仿宋" w:eastAsia="仿宋" w:cs="仿宋"/>
                <w:b w:val="0"/>
                <w:bCs w:val="0"/>
                <w:sz w:val="24"/>
                <w:lang w:val="en-US" w:eastAsia="zh-CN"/>
              </w:rPr>
              <w:t>业务部分设置三端进行控制：</w:t>
            </w:r>
            <w:r>
              <w:rPr>
                <w:rFonts w:hint="eastAsia" w:ascii="仿宋" w:hAnsi="仿宋" w:eastAsia="仿宋" w:cs="仿宋"/>
                <w:b w:val="0"/>
                <w:bCs w:val="0"/>
                <w:sz w:val="24"/>
              </w:rPr>
              <w:t>企业端负责监测值守与现场处置；智库端负责模型优化、机理研判与阈值评审；监管端负责跨矿汇总、预警升级督办与统计考核。权限用 RBAC 分级，配合验证码、多层限流与审计留痕，形成“采集—传输—处理—分析—预警—可视化—反馈”闭环。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4536" w:hRule="atLeast"/>
              </w:trPr>
              <w:tc>
                <w:tcPr>
                  <w:tcW w:type="dxa" w:w="8499"/>
                </w:tcPr>
                <w:p>
                  <w:pPr>
                    <w:spacing w:line="360" w:lineRule="auto"/>
                    <w:jc w:val="center"/>
                  </w:pPr>
                  <w:r>
                    <w:rPr>
                      <w:rFonts w:ascii="仿宋" w:hAnsi="仿宋" w:eastAsia="仿宋"/>
                      <w:b/>
                      <w:color w:val="A0A0A0"/>
                      <w:sz w:val="28"/>
                    </w:rPr>
                    <w:t>【图8 占位框】</w:t>
                  </w:r>
                </w:p>
                <w:p>
                  <w:pPr>
                    <w:jc w:val="center"/>
                  </w:pPr>
                  <w:r>
                    <w:rPr>
                      <w:rFonts w:ascii="仿宋" w:hAnsi="仿宋" w:eastAsia="仿宋"/>
                      <w:b w:val="0"/>
                      <w:color w:val="A0A0A0"/>
                      <w:sz w:val="21"/>
                    </w:rPr>
                    <w:t>建议尺寸：宽 15 cm × 高 8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图8  三端（三级）协同业务流程图</w:t>
            </w:r>
          </w:p>
          <w:p>
            <w:pPr>
              <w:spacing w:line="360" w:lineRule="auto" w:before="0" w:after="0"/>
              <w:jc w:val="center"/>
            </w:pPr>
            <w:r>
              <w:rPr>
                <w:rFonts w:ascii="仿宋" w:hAnsi="仿宋" w:eastAsia="仿宋" w:cs="仿宋" w:hint="eastAsia"/>
                <w:sz w:val="24"/>
                <w:szCs w:val="24"/>
              </w:rPr>
              <w:t>三级主体在同一孪生场景上分工联动，顶板管理从"被动防治"转向"主动透明防控"。</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2835" w:hRule="atLeast"/>
              </w:trPr>
              <w:tc>
                <w:tcPr>
                  <w:tcW w:type="dxa" w:w="8499"/>
                </w:tcPr>
                <w:p>
                  <w:pPr>
                    <w:spacing w:line="360" w:lineRule="auto"/>
                    <w:jc w:val="center"/>
                  </w:pPr>
                  <w:r>
                    <w:rPr>
                      <w:rFonts w:ascii="仿宋" w:hAnsi="仿宋" w:eastAsia="仿宋"/>
                      <w:b/>
                      <w:color w:val="A0A0A0"/>
                      <w:sz w:val="28"/>
                    </w:rPr>
                    <w:t>【图9 占位框】</w:t>
                  </w:r>
                </w:p>
                <w:p>
                  <w:pPr>
                    <w:jc w:val="center"/>
                  </w:pPr>
                  <w:r>
                    <w:rPr>
                      <w:rFonts w:ascii="仿宋" w:hAnsi="仿宋" w:eastAsia="仿宋"/>
                      <w:b w:val="0"/>
                      <w:color w:val="A0A0A0"/>
                      <w:sz w:val="21"/>
                    </w:rPr>
                    <w:t>建议尺寸：宽 13 cm × 高 5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图9  三端 RBAC 权限矩阵图</w:t>
            </w:r>
          </w:p>
          <w:p>
            <w:pPr>
              <w:spacing w:line="360" w:lineRule="auto" w:before="0" w:after="0"/>
              <w:jc w:val="center"/>
            </w:pPr>
            <w:r>
              <w:rPr>
                <w:rFonts w:ascii="仿宋" w:hAnsi="仿宋" w:eastAsia="仿宋" w:cs="仿宋" w:hint="eastAsia"/>
                <w:sz w:val="24"/>
                <w:szCs w:val="24"/>
              </w:rPr>
              <w:t>权限按 RBAC 分级，配合验证码、多层限流与审计留痕，实现分角色授权与操作可追溯。</w:t>
            </w:r>
          </w:p>
          <w:p w14:paraId="7DA8A63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宋体" w:hAnsi="宋体"/>
                <w:b/>
                <w:bCs/>
                <w:sz w:val="24"/>
              </w:rPr>
            </w:pPr>
            <w:r>
              <w:rPr>
                <w:rFonts w:hint="eastAsia" w:ascii="仿宋" w:hAnsi="仿宋" w:eastAsia="仿宋" w:cs="仿宋"/>
                <w:b w:val="0"/>
                <w:bCs w:val="0"/>
                <w:sz w:val="24"/>
              </w:rPr>
              <w:t xml:space="preserve">5.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系统</w:t>
            </w:r>
            <w:r>
              <w:rPr>
                <w:rFonts w:hint="eastAsia" w:ascii="仿宋" w:hAnsi="仿宋" w:eastAsia="仿宋" w:cs="仿宋"/>
                <w:b w:val="0"/>
                <w:bCs w:val="0"/>
                <w:sz w:val="24"/>
                <w:lang w:val="en-US" w:eastAsia="zh-CN"/>
              </w:rPr>
              <w:t>国产化的匹配手段。</w:t>
            </w:r>
            <w:r>
              <w:rPr>
                <w:rFonts w:hint="eastAsia" w:ascii="仿宋" w:hAnsi="仿宋" w:eastAsia="仿宋" w:cs="仿宋"/>
                <w:b w:val="0"/>
                <w:bCs w:val="0"/>
                <w:sz w:val="24"/>
              </w:rPr>
              <w:t>适配方面研究国产化环境（统信 UOS / Deepin）与移动端（鸿蒙 ArkTS）的部署方案，以及备份恢复与运维监控。</w:t>
            </w:r>
          </w:p>
          <w:p w14:paraId="49FEC3CF">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国、内外研究现状和发展动态</w:t>
            </w:r>
          </w:p>
          <w:p w14:paraId="3ABE19A5">
            <w:pPr>
              <w:pStyle w:val="3"/>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1. 国外研究现状</w:t>
            </w:r>
          </w:p>
          <w:p w14:paraId="25E63180">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国外在煤矿顶板灾害领域的研究起步较早，早期形成了拱形冒落论、压力拱假说、悬臂梁假说、预成裂隙理论等经典覆岩破坏理论，为顶板失稳机理研究奠定了理论基础。在监测技术层面，国外将微震监测按尺度划分为大、中、小三类，大尺度监测可覆盖大范围岩层破裂事件，定位精度可达 500m 左右，在深部矿井顶板灾害监测中得到广泛应用。</w:t>
            </w:r>
          </w:p>
          <w:p w14:paraId="68DA4144">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在数字孪生与智能化技术应用方面，国外学者开展了多方向探索：Wang Hongwei 等提出基于数字孪生的复杂地质结构数字重建方法，实现地质体的三维可视化，为灾害预测提供技术支撑；针对煤矿通风系统，有研究构建了融合数字孪生与注意力机制 LSTM 网络的智能管控框架，多步预测平均绝对百分比误差达 2.87%，控制精度 97.3%，验证了数字孪生在煤矿动态系统管控中的有效性。在可视化交互领域，国外已将 VR/AR 技术应用于矿山安全培训、设备巡检等场景，初步实现了井下场景的沉浸式展示，但针对顶板灾变预警的专项 VR 可视化推演能力不足。</w:t>
            </w:r>
          </w:p>
          <w:p w14:paraId="10510EA1">
            <w:pPr>
              <w:pStyle w:val="7"/>
              <w:keepNext w:val="0"/>
              <w:keepLines w:val="0"/>
              <w:widowControl/>
              <w:suppressLineNumbers w:val="0"/>
              <w:ind w:firstLine="480" w:firstLineChars="200"/>
              <w:rPr>
                <w:rFonts w:hint="eastAsia" w:ascii="仿宋" w:hAnsi="仿宋" w:eastAsia="仿宋" w:cs="仿宋"/>
                <w:sz w:val="24"/>
                <w:szCs w:val="24"/>
              </w:rPr>
            </w:pPr>
            <w:r>
              <w:rPr>
                <w:rFonts w:hint="eastAsia" w:ascii="仿宋" w:hAnsi="仿宋" w:eastAsia="仿宋" w:cs="仿宋"/>
                <w:sz w:val="24"/>
                <w:szCs w:val="24"/>
              </w:rPr>
              <w:t>工程应用层面，美国长壁工作面已实现 400m 以上自动化开采，形成了以重型化设备与高可靠性为核心的技术体系，但针对喀斯特等复杂地质条件的自适应预警与协同管控研究相对薄弱；澳大利亚 CSIRO 等机构在惯性导航、煤岩识别领域取得突破，但对强采动矿压与顶板灾变的耦合响应机制缺乏深入研究。整体来看，国外针对顶板灾变的数字孪生全链条预警体系研究较少，且未形成 “感知硬件 - 计算软件 - 沉浸式大屏” 三端深度互联的一体化架构，技术方案对复杂岩溶地质的适配性不足。</w:t>
            </w:r>
          </w:p>
          <w:p w14:paraId="1E2A78B6">
            <w:pPr>
              <w:pStyle w:val="3"/>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2. 国内研究现状</w:t>
            </w:r>
          </w:p>
          <w:p w14:paraId="7FC113CD">
            <w:pPr>
              <w:pStyle w:val="7"/>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国内在顶板灾害监测预警领域已形成较为完善的技术体系：</w:t>
            </w:r>
          </w:p>
          <w:p w14:paraId="75029698">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Style w:val="10"/>
                <w:rFonts w:hint="eastAsia" w:ascii="仿宋" w:hAnsi="仿宋" w:eastAsia="仿宋" w:cs="仿宋"/>
                <w:sz w:val="24"/>
                <w:szCs w:val="24"/>
              </w:rPr>
              <w:t>监测技术与装备</w:t>
            </w:r>
            <w:r>
              <w:rPr>
                <w:rFonts w:hint="eastAsia" w:ascii="仿宋" w:hAnsi="仿宋" w:eastAsia="仿宋" w:cs="仿宋"/>
                <w:sz w:val="24"/>
                <w:szCs w:val="24"/>
              </w:rPr>
              <w:t>：地声、微震监测技术发展成熟，科研团队建立了多类多震源全自动识别理论与无需预先测速的震源定位方法，研发了地声智能感知全套技术装备，在国内 20 余个矿山成功应用，多次实现顶板垮塌超前预警；中国安全生产科学研究院研发的 “顶板雷达”，实现了毫米级精度的非接触式顶板变形实时监测，可应用于矿井与隧道坍塌预警场景，为硬件端感知能力建设提供了技术支撑。</w:t>
            </w:r>
          </w:p>
          <w:p w14:paraId="4946330A">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Style w:val="10"/>
                <w:rFonts w:hint="eastAsia" w:ascii="仿宋" w:hAnsi="仿宋" w:eastAsia="仿宋" w:cs="仿宋"/>
                <w:sz w:val="24"/>
                <w:szCs w:val="24"/>
              </w:rPr>
              <w:t>预警模型与算法</w:t>
            </w:r>
            <w:r>
              <w:rPr>
                <w:rFonts w:hint="eastAsia" w:ascii="仿宋" w:hAnsi="仿宋" w:eastAsia="仿宋" w:cs="仿宋"/>
                <w:sz w:val="24"/>
                <w:szCs w:val="24"/>
              </w:rPr>
              <w:t>：预警方法从传统统计分析向多源融合的智能算法演进，有研究提出融合物理预警指标与时序特征的冲击地压预警方法，通过 GA-BP 算法与深度学习结合，预测 F1 值可达 0.88，提升了坚硬顶板场景的预警敏感性；同时，基于灰色神经网络、深度学习的顶板压力预测模型也得到广泛验证，预警精度持续提升，为软件端智能计算引擎提供了算法基础。</w:t>
            </w:r>
          </w:p>
          <w:p w14:paraId="68D1A14E">
            <w:pPr>
              <w:pStyle w:val="7"/>
              <w:keepNext w:val="0"/>
              <w:keepLines w:val="0"/>
              <w:widowControl/>
              <w:suppressLineNumbers w:val="0"/>
              <w:rPr>
                <w:rFonts w:hint="eastAsia" w:ascii="仿宋" w:hAnsi="仿宋" w:eastAsia="仿宋" w:cs="仿宋"/>
                <w:sz w:val="24"/>
                <w:szCs w:val="24"/>
              </w:rPr>
            </w:pPr>
            <w:r>
              <w:rPr>
                <w:rFonts w:hint="eastAsia" w:ascii="仿宋" w:hAnsi="仿宋" w:eastAsia="仿宋" w:cs="仿宋"/>
                <w:sz w:val="24"/>
                <w:szCs w:val="24"/>
              </w:rPr>
              <w:t>在数字孪生矿山与可视化领域，国内研究与应用快速推进：</w:t>
            </w:r>
          </w:p>
          <w:p w14:paraId="72541FBC">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灾害防控方向，数字孪生已应用于密闭采空区管理、工作面危险源超前预警、应急救援辅助决策等场景，可实现灾害场景的实时再现与风险动态评估；针对煤矿突水风险，有研究构建了多源数据驱动的数字孪生模型，几何形态误差控制在 ±0.76m，预警准确率达 92.3%。</w:t>
            </w:r>
          </w:p>
          <w:p w14:paraId="6BD54E1F">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可视化交互方向，部分矿山已部署工业数字大屏，实现生产数据、安全指标的二维可视化展示；VR 技术也逐步应用于矿山安全培训、虚拟巡检等场景，但针对顶板灾变的沉浸式 VR 推演、多端联动的数字孪生体系仍处于探索阶段。</w:t>
            </w:r>
          </w:p>
          <w:p w14:paraId="6BB3AD75">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工程实践层面，淮北矿业集团构建了矿井数字孪生系统，实现井下设备状态实时映射与故障前瞻性维护；神东矿区通过 5G + 数字孪生技术，实现综采工作面设备远程精准操控，推动生产管控从 “井下” 向 “井上” 转型；但现有方案多侧重生产环节管控，针对顶板灾变专项的 “硬件感知 - 软件计算 - VR 交互” 三端互联体系尚未形成。</w:t>
            </w:r>
          </w:p>
          <w:p w14:paraId="27ACD771">
            <w:pPr>
              <w:keepNext w:val="0"/>
              <w:keepLines w:val="0"/>
              <w:widowControl/>
              <w:numPr>
                <w:ilvl w:val="0"/>
                <w:numId w:val="5"/>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sz w:val="24"/>
                <w:szCs w:val="24"/>
              </w:rPr>
              <w:t>体系架构方面，国内学者提出了 “建模 - 感知 - 决策 - 控制” 的数字孪生闭环体系，为掘进工作面、综采工作面的智能管控提供了架构参考，但针对顶板灾变专项的三端协同数字孪生管控平台仍缺乏系统性研究。</w:t>
            </w:r>
          </w:p>
          <w:p w14:paraId="7F9C8826">
            <w:pPr>
              <w:snapToGrid w:val="0"/>
              <w:spacing w:before="156" w:beforeLines="50" w:after="156" w:afterLines="50" w:line="300" w:lineRule="auto"/>
              <w:rPr>
                <w:rFonts w:hint="eastAsia" w:ascii="宋体" w:hAnsi="宋体"/>
                <w:b/>
                <w:bCs/>
                <w:sz w:val="24"/>
              </w:rPr>
            </w:pPr>
          </w:p>
          <w:p w14:paraId="2A6F5FCA">
            <w:pPr>
              <w:snapToGrid w:val="0"/>
              <w:spacing w:before="156" w:beforeLines="50" w:after="156" w:afterLines="50" w:line="300" w:lineRule="auto"/>
              <w:rPr>
                <w:rFonts w:hint="eastAsia" w:ascii="宋体" w:hAnsi="宋体"/>
                <w:b/>
                <w:bCs/>
                <w:sz w:val="24"/>
              </w:rPr>
            </w:pPr>
          </w:p>
          <w:p w14:paraId="0DBA7F9C">
            <w:pPr>
              <w:snapToGrid w:val="0"/>
              <w:spacing w:before="156" w:beforeLines="50" w:after="156" w:afterLines="50" w:line="300" w:lineRule="auto"/>
              <w:rPr>
                <w:rFonts w:hint="eastAsia" w:ascii="宋体" w:hAnsi="宋体"/>
                <w:b/>
                <w:bCs/>
                <w:sz w:val="24"/>
              </w:rPr>
            </w:pPr>
          </w:p>
          <w:p w14:paraId="46BE3221">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创新点与项目特色</w:t>
            </w:r>
          </w:p>
          <w:p w14:paraId="73B33636">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1. 三端互联与三级协同的闭环管控</w:t>
            </w:r>
            <w:r>
              <w:rPr>
                <w:rFonts w:hint="eastAsia" w:ascii="仿宋" w:hAnsi="仿宋" w:eastAsia="仿宋" w:cs="仿宋"/>
                <w:b w:val="0"/>
                <w:bCs w:val="0"/>
                <w:sz w:val="24"/>
                <w:lang w:eastAsia="zh-CN"/>
              </w:rPr>
              <w:t>。</w:t>
            </w:r>
            <w:r>
              <w:rPr>
                <w:rFonts w:hint="eastAsia" w:ascii="仿宋" w:hAnsi="仿宋" w:eastAsia="仿宋" w:cs="仿宋"/>
                <w:b w:val="0"/>
                <w:bCs w:val="0"/>
                <w:sz w:val="24"/>
              </w:rPr>
              <w:t>本项目把三端串起来：硬件端负责多参量采集，软件端负责多源融合与灾变研判，VR/大屏端负责透明呈现与协同决策。</w:t>
            </w:r>
            <w:r>
              <w:rPr>
                <w:rFonts w:hint="eastAsia" w:ascii="仿宋" w:hAnsi="仿宋" w:eastAsia="仿宋" w:cs="仿宋"/>
                <w:b w:val="0"/>
                <w:bCs w:val="0"/>
                <w:sz w:val="24"/>
                <w:lang w:val="en-US" w:eastAsia="zh-CN"/>
              </w:rPr>
              <w:t>软件端再分为</w:t>
            </w:r>
            <w:r>
              <w:rPr>
                <w:rFonts w:hint="eastAsia" w:ascii="仿宋" w:hAnsi="仿宋" w:eastAsia="仿宋" w:cs="仿宋"/>
                <w:b w:val="0"/>
                <w:bCs w:val="0"/>
                <w:sz w:val="24"/>
              </w:rPr>
              <w:t>“企业端—智库端—监管端”，用统一数据标准打通。三级主体在同一孪生场景上分工联动，顶板管理从被动防治转向主动透明防控。</w:t>
            </w:r>
          </w:p>
          <w:p w14:paraId="7E2E24F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2. 机理与数据双驱动的 MCFLR 预警模型</w:t>
            </w:r>
            <w:r>
              <w:rPr>
                <w:rFonts w:hint="eastAsia" w:ascii="仿宋" w:hAnsi="仿宋" w:eastAsia="仿宋" w:cs="仿宋"/>
                <w:b w:val="0"/>
                <w:bCs w:val="0"/>
                <w:sz w:val="24"/>
                <w:lang w:eastAsia="zh-CN"/>
              </w:rPr>
              <w:t>。</w:t>
            </w:r>
            <w:r>
              <w:rPr>
                <w:rFonts w:hint="eastAsia" w:ascii="仿宋" w:hAnsi="仿宋" w:eastAsia="仿宋" w:cs="仿宋"/>
                <w:b w:val="0"/>
                <w:bCs w:val="0"/>
                <w:sz w:val="24"/>
              </w:rPr>
              <w:t>本项目用多场耦合融合逻辑回归（MCFLR），把应力、位移、水压、震动、锚杆、环境的多物理场耦合作用显式编码为耦合强度与耦合广度特征，既保留力学机理的可解释性，又具备数据驱动自学习能力。</w:t>
            </w:r>
          </w:p>
          <w:p w14:paraId="33AA995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多种</w:t>
            </w:r>
            <w:r>
              <w:rPr>
                <w:rFonts w:hint="eastAsia" w:ascii="仿宋" w:hAnsi="仿宋" w:eastAsia="仿宋" w:cs="仿宋"/>
                <w:b w:val="0"/>
                <w:bCs w:val="0"/>
                <w:sz w:val="24"/>
              </w:rPr>
              <w:t>地质</w:t>
            </w:r>
            <w:r>
              <w:rPr>
                <w:rFonts w:hint="eastAsia" w:ascii="仿宋" w:hAnsi="仿宋" w:eastAsia="仿宋" w:cs="仿宋"/>
                <w:b w:val="0"/>
                <w:bCs w:val="0"/>
                <w:sz w:val="24"/>
                <w:lang w:val="en-US" w:eastAsia="zh-CN"/>
              </w:rPr>
              <w:t>情况</w:t>
            </w:r>
            <w:r>
              <w:rPr>
                <w:rFonts w:hint="eastAsia" w:ascii="仿宋" w:hAnsi="仿宋" w:eastAsia="仿宋" w:cs="仿宋"/>
                <w:b w:val="0"/>
                <w:bCs w:val="0"/>
                <w:sz w:val="24"/>
              </w:rPr>
              <w:t>适配</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根据不同的隧道情况可以分别增加对应的监测设备，如</w:t>
            </w:r>
            <w:r>
              <w:rPr>
                <w:rFonts w:hint="eastAsia" w:ascii="仿宋" w:hAnsi="仿宋" w:eastAsia="仿宋" w:cs="仿宋"/>
                <w:b w:val="0"/>
                <w:bCs w:val="0"/>
                <w:sz w:val="24"/>
              </w:rPr>
              <w:t>在岩溶发育区专项增设顶板钻孔承压水监测通道</w:t>
            </w:r>
            <w:r>
              <w:rPr>
                <w:rFonts w:hint="eastAsia" w:ascii="仿宋" w:hAnsi="仿宋" w:eastAsia="仿宋" w:cs="仿宋"/>
                <w:b w:val="0"/>
                <w:bCs w:val="0"/>
                <w:sz w:val="24"/>
                <w:lang w:eastAsia="zh-CN"/>
              </w:rPr>
              <w:t>，</w:t>
            </w:r>
            <w:r>
              <w:rPr>
                <w:rFonts w:hint="eastAsia" w:ascii="仿宋" w:hAnsi="仿宋" w:eastAsia="仿宋" w:cs="仿宋"/>
                <w:b w:val="0"/>
                <w:bCs w:val="0"/>
                <w:sz w:val="24"/>
              </w:rPr>
              <w:t>把水压与震动参量纳入耦合特征</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最后</w:t>
            </w:r>
            <w:r>
              <w:rPr>
                <w:rFonts w:hint="eastAsia" w:ascii="仿宋" w:hAnsi="仿宋" w:eastAsia="仿宋" w:cs="仿宋"/>
                <w:b w:val="0"/>
                <w:bCs w:val="0"/>
                <w:sz w:val="24"/>
              </w:rPr>
              <w:t>预警结果能回答“风险来自哪条构造、哪层含水层”</w:t>
            </w:r>
            <w:r>
              <w:rPr>
                <w:rFonts w:hint="eastAsia" w:ascii="仿宋" w:hAnsi="仿宋" w:eastAsia="仿宋" w:cs="仿宋"/>
                <w:b w:val="0"/>
                <w:bCs w:val="0"/>
                <w:sz w:val="24"/>
                <w:lang w:val="en-US" w:eastAsia="zh-CN"/>
              </w:rPr>
              <w:t>等问题</w:t>
            </w:r>
            <w:r>
              <w:rPr>
                <w:rFonts w:hint="eastAsia" w:ascii="仿宋" w:hAnsi="仿宋" w:eastAsia="仿宋" w:cs="仿宋"/>
                <w:b w:val="0"/>
                <w:bCs w:val="0"/>
                <w:sz w:val="24"/>
              </w:rPr>
              <w:t>，提升复杂地质条件下的现场可用性。</w:t>
            </w:r>
          </w:p>
          <w:p w14:paraId="6BDEF493">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4. </w:t>
            </w:r>
            <w:r>
              <w:rPr>
                <w:rFonts w:hint="eastAsia" w:ascii="仿宋" w:hAnsi="仿宋" w:eastAsia="仿宋" w:cs="仿宋"/>
                <w:b w:val="0"/>
                <w:bCs w:val="0"/>
                <w:sz w:val="24"/>
                <w:lang w:val="en-US" w:eastAsia="zh-CN"/>
              </w:rPr>
              <w:t>数字孪生</w:t>
            </w:r>
            <w:r>
              <w:rPr>
                <w:rFonts w:hint="eastAsia" w:ascii="仿宋" w:hAnsi="仿宋" w:eastAsia="仿宋" w:cs="仿宋"/>
                <w:b w:val="0"/>
                <w:bCs w:val="0"/>
                <w:sz w:val="24"/>
              </w:rPr>
              <w:t>交互设计</w:t>
            </w:r>
            <w:r>
              <w:rPr>
                <w:rFonts w:hint="eastAsia" w:ascii="仿宋" w:hAnsi="仿宋" w:eastAsia="仿宋" w:cs="仿宋"/>
                <w:b w:val="0"/>
                <w:bCs w:val="0"/>
                <w:sz w:val="24"/>
                <w:lang w:eastAsia="zh-CN"/>
              </w:rPr>
              <w:t>。</w:t>
            </w:r>
            <w:r>
              <w:rPr>
                <w:rFonts w:hint="eastAsia" w:ascii="仿宋" w:hAnsi="仿宋" w:eastAsia="仿宋" w:cs="仿宋"/>
                <w:b w:val="0"/>
                <w:bCs w:val="0"/>
                <w:sz w:val="24"/>
              </w:rPr>
              <w:t>长按测点后数值爬升，顶板失稳从数表里的数字变成肉眼可见的演化过程。LoRa 报文从测点经网关上行的全链路以逐帧动画还原，通信拓扑与数据流同步可视化。移动端与 VR 侧复用同一孪生场景和同构数据通道，沉浸式终端像真实硬件一样向平台上下行数据，为后续灾变推演和应急演练留接口。</w:t>
            </w:r>
          </w:p>
          <w:p w14:paraId="325301C2">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宋体" w:hAnsi="宋体"/>
                <w:b/>
                <w:bCs/>
                <w:sz w:val="24"/>
              </w:rPr>
            </w:pPr>
            <w:r>
              <w:rPr>
                <w:rFonts w:hint="eastAsia" w:ascii="仿宋" w:hAnsi="仿宋" w:eastAsia="仿宋" w:cs="仿宋"/>
                <w:b w:val="0"/>
                <w:bCs w:val="0"/>
                <w:sz w:val="24"/>
              </w:rPr>
              <w:t>5. 工程实现国产化</w:t>
            </w:r>
            <w:r>
              <w:rPr>
                <w:rFonts w:hint="eastAsia" w:ascii="仿宋" w:hAnsi="仿宋" w:eastAsia="仿宋" w:cs="仿宋"/>
                <w:b w:val="0"/>
                <w:bCs w:val="0"/>
                <w:sz w:val="24"/>
                <w:lang w:eastAsia="zh-CN"/>
              </w:rPr>
              <w:t>。</w:t>
            </w:r>
            <w:r>
              <w:rPr>
                <w:rFonts w:hint="eastAsia" w:ascii="仿宋" w:hAnsi="仿宋" w:eastAsia="仿宋" w:cs="仿宋"/>
                <w:b w:val="0"/>
                <w:bCs w:val="0"/>
                <w:i w:val="0"/>
                <w:iCs w:val="0"/>
                <w:caps w:val="0"/>
                <w:color w:val="0F1115"/>
                <w:spacing w:val="0"/>
                <w:kern w:val="0"/>
                <w:sz w:val="24"/>
                <w:szCs w:val="24"/>
                <w:shd w:val="clear" w:fill="FFFFFF"/>
                <w:lang w:val="en-US" w:eastAsia="zh-CN" w:bidi="ar-SA"/>
              </w:rPr>
              <w:t>本项目以国产工业操作系统为核心基础构建项目架构，</w:t>
            </w:r>
            <w:r>
              <w:rPr>
                <w:rFonts w:hint="eastAsia" w:ascii="仿宋" w:hAnsi="仿宋" w:eastAsia="仿宋" w:cs="仿宋"/>
                <w:b w:val="0"/>
                <w:bCs w:val="0"/>
                <w:sz w:val="24"/>
              </w:rPr>
              <w:t>服务端用 Node.js + PostgreSQL + Redis + MQTT</w:t>
            </w:r>
            <w:r>
              <w:rPr>
                <w:rFonts w:hint="eastAsia" w:ascii="仿宋" w:hAnsi="仿宋" w:eastAsia="仿宋" w:cs="仿宋"/>
                <w:b w:val="0"/>
                <w:bCs w:val="0"/>
                <w:sz w:val="24"/>
                <w:lang w:eastAsia="zh-CN"/>
              </w:rPr>
              <w:t>，</w:t>
            </w:r>
            <w:r>
              <w:rPr>
                <w:rFonts w:hint="eastAsia" w:ascii="仿宋" w:hAnsi="仿宋" w:eastAsia="仿宋" w:cs="仿宋"/>
                <w:b w:val="0"/>
                <w:bCs w:val="0"/>
                <w:sz w:val="24"/>
              </w:rPr>
              <w:t>移动端为鸿蒙 ArkTS。已完成统信 UOS / Deepin 部署脚本与环境适配，</w:t>
            </w:r>
            <w:r>
              <w:rPr>
                <w:rFonts w:hint="eastAsia" w:ascii="仿宋" w:hAnsi="仿宋" w:eastAsia="仿宋" w:cs="仿宋"/>
                <w:b w:val="0"/>
                <w:bCs w:val="0"/>
                <w:i w:val="0"/>
                <w:iCs w:val="0"/>
                <w:caps w:val="0"/>
                <w:color w:val="0F1115"/>
                <w:spacing w:val="0"/>
                <w:kern w:val="0"/>
                <w:sz w:val="24"/>
                <w:szCs w:val="24"/>
                <w:shd w:val="clear" w:fill="FFFFFF"/>
                <w:lang w:val="en-US" w:eastAsia="zh-CN" w:bidi="ar-SA"/>
              </w:rPr>
              <w:t>实现核心技术与系统的国产化</w:t>
            </w:r>
            <w:r>
              <w:rPr>
                <w:rFonts w:hint="eastAsia" w:ascii="仿宋" w:hAnsi="仿宋" w:eastAsia="仿宋" w:cs="仿宋"/>
                <w:b w:val="0"/>
                <w:bCs w:val="0"/>
                <w:sz w:val="24"/>
              </w:rPr>
              <w:t>。</w:t>
            </w:r>
          </w:p>
          <w:p w14:paraId="35774100">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技术路线、拟解决的问题及预期成果</w:t>
            </w:r>
          </w:p>
          <w:p w14:paraId="2F982B55">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1. 总体技术路线</w:t>
            </w:r>
          </w:p>
          <w:p w14:paraId="3B056874">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本项目技术路线</w:t>
            </w:r>
            <w:r>
              <w:rPr>
                <w:rFonts w:hint="eastAsia" w:ascii="仿宋" w:hAnsi="仿宋" w:eastAsia="仿宋" w:cs="仿宋"/>
                <w:b w:val="0"/>
                <w:bCs w:val="0"/>
                <w:sz w:val="24"/>
                <w:szCs w:val="24"/>
                <w:lang w:val="en-US" w:eastAsia="zh-CN"/>
              </w:rPr>
              <w:t>采用的</w:t>
            </w:r>
            <w:r>
              <w:rPr>
                <w:rFonts w:hint="eastAsia" w:ascii="仿宋" w:hAnsi="仿宋" w:eastAsia="仿宋" w:cs="仿宋"/>
                <w:b w:val="0"/>
                <w:bCs w:val="0"/>
                <w:sz w:val="24"/>
                <w:szCs w:val="24"/>
              </w:rPr>
              <w:t>"硬件端—软件端—VR/数字大屏"三端互联体系：硬件层解决"测得到、传得出"，软件层解决"算得准、管得住"，VR/大屏层解决"看得见、判得明"，三层之间以标准化数据接口衔接，形成"感知—计算—决策—反馈"的完整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103" w:hRule="atLeast"/>
              </w:trPr>
              <w:tc>
                <w:tcPr>
                  <w:tcW w:type="dxa" w:w="8499"/>
                </w:tcPr>
                <w:p>
                  <w:pPr>
                    <w:spacing w:line="360" w:lineRule="auto"/>
                    <w:jc w:val="center"/>
                  </w:pPr>
                  <w:r>
                    <w:rPr>
                      <w:rFonts w:ascii="仿宋" w:hAnsi="仿宋" w:eastAsia="仿宋"/>
                      <w:b/>
                      <w:color w:val="A0A0A0"/>
                      <w:sz w:val="28"/>
                    </w:rPr>
                    <w:t>【图1 占位框】</w:t>
                  </w:r>
                </w:p>
                <w:p>
                  <w:pPr>
                    <w:jc w:val="center"/>
                  </w:pPr>
                  <w:r>
                    <w:rPr>
                      <w:rFonts w:ascii="仿宋" w:hAnsi="仿宋" w:eastAsia="仿宋"/>
                      <w:b w:val="0"/>
                      <w:color w:val="A0A0A0"/>
                      <w:sz w:val="21"/>
                    </w:rPr>
                    <w:t>建议尺寸：宽 14 cm × 高 9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  三端互联总体架构与技术路线图</w:t>
            </w:r>
          </w:p>
          <w:p>
            <w:pPr>
              <w:spacing w:line="360" w:lineRule="auto" w:before="0" w:after="0"/>
              <w:jc w:val="center"/>
            </w:pPr>
            <w:r>
              <w:rPr>
                <w:rFonts w:ascii="仿宋" w:hAnsi="仿宋" w:eastAsia="仿宋" w:cs="仿宋" w:hint="eastAsia"/>
                <w:sz w:val="24"/>
                <w:szCs w:val="24"/>
              </w:rPr>
              <w:t>三层分别解决"测得到、传得出""算得准、管得住""看得见、判得明"，以标准化数据接口衔接，形成"感知—计算—决策—反馈"的完整闭环。</w:t>
            </w:r>
          </w:p>
          <w:tbl>
            <w:tblPr>
              <w:tblW w:w="8488"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76"/>
              <w:gridCol w:w="2268"/>
              <w:gridCol w:w="2225"/>
              <w:gridCol w:w="2619"/>
            </w:tblGrid>
            <w:tr w14:paraId="05868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1376" w:type="dxa"/>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65EB4B0C">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层次</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ED5B8D">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定位与目标</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99FC5B">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主要研究内容</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D746C0">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关键技术</w:t>
                  </w:r>
                </w:p>
              </w:tc>
            </w:tr>
            <w:tr w14:paraId="347E8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B76C5A">
                  <w:pPr>
                    <w:keepNext w:val="0"/>
                    <w:keepLines w:val="0"/>
                    <w:widowControl/>
                    <w:suppressLineNumbers w:val="0"/>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硬件层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BF8A0C">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顶板多参数全域实时感知，井下数据可靠上行与指令就地执行</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963EDB">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传感器选型与布设策略、信号调理与采集、供电与防护、LoRa 自组网与边缘网关、上下行通信协议、就地告警</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8D4D51">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薄膜压力/超声波测距/应变片/投入式压力变送器/电化学传感；STM32 多路采集与标定；RS485/CAN/4—20 mA 汇聚；LoRa Mesh + 边缘网关；MQTT（QoS 1、retain、遗嘱）+ UDP 双通道；OLED/声光就地告警</w:t>
                  </w:r>
                </w:p>
              </w:tc>
            </w:tr>
            <w:tr w14:paraId="448E1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98F147">
                  <w:pPr>
                    <w:keepNext w:val="0"/>
                    <w:keepLines w:val="0"/>
                    <w:widowControl/>
                    <w:suppressLineNumbers w:val="0"/>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软件层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4FA27">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多源数据融合、灾变智能预警与三端协同管控</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136C42">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数据接入与治理入库、特征工程、MCFLR 预警模型与分级阈值、预警升级与督办流程、分析报表、权限与安全、模型运维与重训练</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D0C5DD">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Node.js + Express 服务化；PostgreSQL 时序与归档存储；Redis 缓存与内存降级；13 维机理—数据融合特征；逻辑回归 + L2 正则 + 自动重训；WebSocket 实时广播；RBAC + 多层限流 + 审计留痕</w:t>
                  </w:r>
                </w:p>
              </w:tc>
            </w:tr>
            <w:tr w14:paraId="638D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F9C63C">
                  <w:pPr>
                    <w:keepNext w:val="0"/>
                    <w:keepLines w:val="0"/>
                    <w:widowControl/>
                    <w:suppressLineNumbers w:val="0"/>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VR/大屏层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4896ED">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顶板风险沉浸式三维表达、灾变推演与人机协同决策</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C561C9">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数字孪生场景构建与图层管理、应力/位移场云图渲染、地质构造关联表达、灾变演化推演与回放、多端一致呈现与降级、沉浸式终端双向交互</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10BF07">
                  <w:pPr>
                    <w:keepNext w:val="0"/>
                    <w:keepLines w:val="0"/>
                    <w:widowControl/>
                    <w:suppressLineNumbers w:val="0"/>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SVG/WebGL 数字孪生渲染；六图层云图与时间轴回放；地质素描卡关联建模；LoRa 链路拓扑动画；Vue/ArkTS 多端；VR 端 UDP 双向通道；渲染能力探测与降级</w:t>
                  </w:r>
                </w:p>
              </w:tc>
            </w:tr>
          </w:tbl>
          <w:p w14:paraId="046FE686">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p>
          <w:p w14:paraId="3811285E">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数据流主线： 传感器（硬件层）→ LoRa 自组网/边缘网关 → MQTT/UDP 双通道上行 → 软件层解析入库与缺失值处理 → 13 维特征工程 → MCFLR 灾变概率输出 → 四级阈值分级与预警升级状态机 → WebSocket/MQTT 广播 → VR/大屏层孪生场景渲染与云图、推演交互 → 值班与专家研判后下达处置指令/阈值 → 经下行主题回传硬件层就地执行（阈值热更新、OLED/声光告警）→ 处置结果与真实数据回流软件层，触发模型自动重训练。</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103" w:hRule="atLeast"/>
              </w:trPr>
              <w:tc>
                <w:tcPr>
                  <w:tcW w:type="dxa" w:w="8499"/>
                </w:tcPr>
                <w:p>
                  <w:pPr>
                    <w:spacing w:line="360" w:lineRule="auto"/>
                    <w:jc w:val="center"/>
                  </w:pPr>
                  <w:r>
                    <w:rPr>
                      <w:rFonts w:ascii="仿宋" w:hAnsi="仿宋" w:eastAsia="仿宋"/>
                      <w:b/>
                      <w:color w:val="A0A0A0"/>
                      <w:sz w:val="28"/>
                    </w:rPr>
                    <w:t>【图4 占位框】</w:t>
                  </w:r>
                </w:p>
                <w:p>
                  <w:pPr>
                    <w:jc w:val="center"/>
                  </w:pPr>
                  <w:r>
                    <w:rPr>
                      <w:rFonts w:ascii="仿宋" w:hAnsi="仿宋" w:eastAsia="仿宋"/>
                      <w:b w:val="0"/>
                      <w:color w:val="A0A0A0"/>
                      <w:sz w:val="21"/>
                    </w:rPr>
                    <w:t>建议尺寸：宽 15 cm × 高 9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图4  端到端数据流时序图</w:t>
            </w:r>
          </w:p>
          <w:p>
            <w:pPr>
              <w:spacing w:line="360" w:lineRule="auto" w:before="0" w:after="0"/>
              <w:jc w:val="center"/>
            </w:pPr>
            <w:r>
              <w:rPr>
                <w:rFonts w:ascii="仿宋" w:hAnsi="仿宋" w:eastAsia="仿宋" w:cs="仿宋" w:hint="eastAsia"/>
                <w:sz w:val="24"/>
                <w:szCs w:val="24"/>
              </w:rPr>
              <w:t>数据流主线为"传感器 → 边缘网关 → 双通道上行 → 软件层解析与推理 → 三端渲染 → 下行执行 → 数据回流"，构成完整闭环。</w:t>
            </w:r>
          </w:p>
          <w:p>
            <w:pPr>
              <w:spacing w:line="360" w:lineRule="auto" w:before="0" w:after="0"/>
              <w:jc w:val="center"/>
            </w:pPr>
            <w:r>
              <w:rPr>
                <w:rFonts w:ascii="仿宋" w:hAnsi="仿宋" w:eastAsia="仿宋" w:cs="仿宋" w:hint="eastAsia"/>
                <w:b/>
                <w:bCs/>
                <w:sz w:val="24"/>
                <w:szCs w:val="24"/>
              </w:rPr>
              <w:t>表2  技术栈选型</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124"/>
              <w:gridCol w:w="2124"/>
              <w:gridCol w:w="2124"/>
              <w:gridCol w:w="2124"/>
            </w:tblGrid>
            <w:tr>
              <w:tc>
                <w:tcPr>
                  <w:tcW w:type="dxa" w:w="2124"/>
                </w:tcPr>
                <w:p>
                  <w:pPr>
                    <w:spacing w:line="240" w:lineRule="auto"/>
                  </w:pPr>
                  <w:r>
                    <w:rPr>
                      <w:rFonts w:ascii="仿宋" w:hAnsi="仿宋" w:eastAsia="仿宋" w:cs="仿宋" w:hint="eastAsia"/>
                      <w:b/>
                      <w:bCs/>
                      <w:sz w:val="24"/>
                      <w:szCs w:val="24"/>
                    </w:rPr>
                    <w:t>层次</w:t>
                  </w:r>
                </w:p>
              </w:tc>
              <w:tc>
                <w:tcPr>
                  <w:tcW w:type="dxa" w:w="2124"/>
                </w:tcPr>
                <w:p>
                  <w:pPr>
                    <w:spacing w:line="240" w:lineRule="auto"/>
                  </w:pPr>
                  <w:r>
                    <w:rPr>
                      <w:rFonts w:ascii="仿宋" w:hAnsi="仿宋" w:eastAsia="仿宋" w:cs="仿宋" w:hint="eastAsia"/>
                      <w:b/>
                      <w:bCs/>
                      <w:sz w:val="24"/>
                      <w:szCs w:val="24"/>
                    </w:rPr>
                    <w:t>模块</w:t>
                  </w:r>
                </w:p>
              </w:tc>
              <w:tc>
                <w:tcPr>
                  <w:tcW w:type="dxa" w:w="2124"/>
                </w:tcPr>
                <w:p>
                  <w:pPr>
                    <w:spacing w:line="240" w:lineRule="auto"/>
                  </w:pPr>
                  <w:r>
                    <w:rPr>
                      <w:rFonts w:ascii="仿宋" w:hAnsi="仿宋" w:eastAsia="仿宋" w:cs="仿宋" w:hint="eastAsia"/>
                      <w:b/>
                      <w:bCs/>
                      <w:sz w:val="24"/>
                      <w:szCs w:val="24"/>
                    </w:rPr>
                    <w:t>选型</w:t>
                  </w:r>
                </w:p>
              </w:tc>
              <w:tc>
                <w:tcPr>
                  <w:tcW w:type="dxa" w:w="2124"/>
                </w:tcPr>
                <w:p>
                  <w:pPr>
                    <w:spacing w:line="240" w:lineRule="auto"/>
                  </w:pPr>
                  <w:r>
                    <w:rPr>
                      <w:rFonts w:ascii="仿宋" w:hAnsi="仿宋" w:eastAsia="仿宋" w:cs="仿宋" w:hint="eastAsia"/>
                      <w:b/>
                      <w:bCs/>
                      <w:sz w:val="24"/>
                      <w:szCs w:val="24"/>
                    </w:rPr>
                    <w:t>选型理由</w:t>
                  </w:r>
                </w:p>
              </w:tc>
            </w:tr>
            <w:tr>
              <w:tc>
                <w:tcPr>
                  <w:tcW w:type="dxa" w:w="2124"/>
                </w:tcPr>
                <w:p>
                  <w:pPr>
                    <w:spacing w:line="240" w:lineRule="auto"/>
                  </w:pPr>
                  <w:r>
                    <w:rPr>
                      <w:rFonts w:ascii="仿宋" w:hAnsi="仿宋" w:eastAsia="仿宋" w:cs="仿宋" w:hint="eastAsia"/>
                      <w:b/>
                      <w:bCs/>
                      <w:sz w:val="24"/>
                      <w:szCs w:val="24"/>
                    </w:rPr>
                    <w:t>硬件层</w:t>
                  </w:r>
                </w:p>
              </w:tc>
              <w:tc>
                <w:tcPr>
                  <w:tcW w:type="dxa" w:w="2124"/>
                </w:tcPr>
                <w:p>
                  <w:pPr>
                    <w:spacing w:line="240" w:lineRule="auto"/>
                  </w:pPr>
                  <w:r>
                    <w:rPr>
                      <w:rFonts w:ascii="仿宋" w:hAnsi="仿宋" w:eastAsia="仿宋" w:cs="仿宋" w:hint="eastAsia"/>
                      <w:b/>
                      <w:bCs/>
                      <w:sz w:val="24"/>
                      <w:szCs w:val="24"/>
                    </w:rPr>
                    <w:t>采集与通信</w:t>
                  </w:r>
                </w:p>
              </w:tc>
              <w:tc>
                <w:tcPr>
                  <w:tcW w:type="dxa" w:w="2124"/>
                </w:tcPr>
                <w:p>
                  <w:pPr>
                    <w:spacing w:line="240" w:lineRule="auto"/>
                  </w:pPr>
                  <w:r>
                    <w:rPr>
                      <w:rFonts w:ascii="仿宋" w:hAnsi="仿宋" w:eastAsia="仿宋" w:cs="仿宋" w:hint="eastAsia"/>
                      <w:b/>
                      <w:bCs/>
                      <w:sz w:val="24"/>
                      <w:szCs w:val="24"/>
                    </w:rPr>
                    <w:t>STM32 多路采集 + RS485 / CAN / 4–20 mA + LoRa Mesh + 边缘网关</w:t>
                  </w:r>
                </w:p>
              </w:tc>
              <w:tc>
                <w:tcPr>
                  <w:tcW w:type="dxa" w:w="2124"/>
                </w:tcPr>
                <w:p>
                  <w:pPr>
                    <w:spacing w:line="240" w:lineRule="auto"/>
                  </w:pPr>
                  <w:r>
                    <w:rPr>
                      <w:rFonts w:ascii="仿宋" w:hAnsi="仿宋" w:eastAsia="仿宋" w:cs="仿宋" w:hint="eastAsia"/>
                      <w:b/>
                      <w:bCs/>
                      <w:sz w:val="24"/>
                      <w:szCs w:val="24"/>
                    </w:rPr>
                    <w:t>井下低功耗、抗遮挡，兼容存量监测设备</w:t>
                  </w:r>
                </w:p>
              </w:tc>
            </w:tr>
            <w:tr>
              <w:tc>
                <w:tcPr>
                  <w:tcW w:type="dxa" w:w="2124"/>
                </w:tcPr>
                <w:p>
                  <w:pPr>
                    <w:spacing w:line="240" w:lineRule="auto"/>
                  </w:pPr>
                  <w:r>
                    <w:rPr>
                      <w:rFonts w:ascii="仿宋" w:hAnsi="仿宋" w:eastAsia="仿宋" w:cs="仿宋" w:hint="eastAsia"/>
                      <w:b/>
                      <w:bCs/>
                      <w:sz w:val="24"/>
                      <w:szCs w:val="24"/>
                    </w:rPr>
                    <w:t>软件层</w:t>
                  </w:r>
                </w:p>
              </w:tc>
              <w:tc>
                <w:tcPr>
                  <w:tcW w:type="dxa" w:w="2124"/>
                </w:tcPr>
                <w:p>
                  <w:pPr>
                    <w:spacing w:line="240" w:lineRule="auto"/>
                  </w:pPr>
                  <w:r>
                    <w:rPr>
                      <w:rFonts w:ascii="仿宋" w:hAnsi="仿宋" w:eastAsia="仿宋" w:cs="仿宋" w:hint="eastAsia"/>
                      <w:b/>
                      <w:bCs/>
                      <w:sz w:val="24"/>
                      <w:szCs w:val="24"/>
                    </w:rPr>
                    <w:t>服务与存储</w:t>
                  </w:r>
                </w:p>
              </w:tc>
              <w:tc>
                <w:tcPr>
                  <w:tcW w:type="dxa" w:w="2124"/>
                </w:tcPr>
                <w:p>
                  <w:pPr>
                    <w:spacing w:line="240" w:lineRule="auto"/>
                  </w:pPr>
                  <w:r>
                    <w:rPr>
                      <w:rFonts w:ascii="仿宋" w:hAnsi="仿宋" w:eastAsia="仿宋" w:cs="仿宋" w:hint="eastAsia"/>
                      <w:b/>
                      <w:bCs/>
                      <w:sz w:val="24"/>
                      <w:szCs w:val="24"/>
                    </w:rPr>
                    <w:t>Node.js + Express + PostgreSQL + Redis + MQTT（QoS 1 / retain / 遗嘱）</w:t>
                  </w:r>
                </w:p>
              </w:tc>
              <w:tc>
                <w:tcPr>
                  <w:tcW w:type="dxa" w:w="2124"/>
                </w:tcPr>
                <w:p>
                  <w:pPr>
                    <w:spacing w:line="240" w:lineRule="auto"/>
                  </w:pPr>
                  <w:r>
                    <w:rPr>
                      <w:rFonts w:ascii="仿宋" w:hAnsi="仿宋" w:eastAsia="仿宋" w:cs="仿宋" w:hint="eastAsia"/>
                      <w:b/>
                      <w:bCs/>
                      <w:sz w:val="24"/>
                      <w:szCs w:val="24"/>
                    </w:rPr>
                    <w:t>时序与归档一体化，缓存不可用时自动降级</w:t>
                  </w:r>
                </w:p>
              </w:tc>
            </w:tr>
            <w:tr>
              <w:tc>
                <w:tcPr>
                  <w:tcW w:type="dxa" w:w="2124"/>
                </w:tcPr>
                <w:p>
                  <w:pPr>
                    <w:spacing w:line="240" w:lineRule="auto"/>
                  </w:pPr>
                  <w:r>
                    <w:rPr>
                      <w:rFonts w:ascii="仿宋" w:hAnsi="仿宋" w:eastAsia="仿宋" w:cs="仿宋" w:hint="eastAsia"/>
                      <w:b/>
                      <w:bCs/>
                      <w:sz w:val="24"/>
                      <w:szCs w:val="24"/>
                    </w:rPr>
                    <w:t>软件层</w:t>
                  </w:r>
                </w:p>
              </w:tc>
              <w:tc>
                <w:tcPr>
                  <w:tcW w:type="dxa" w:w="2124"/>
                </w:tcPr>
                <w:p>
                  <w:pPr>
                    <w:spacing w:line="240" w:lineRule="auto"/>
                  </w:pPr>
                  <w:r>
                    <w:rPr>
                      <w:rFonts w:ascii="仿宋" w:hAnsi="仿宋" w:eastAsia="仿宋" w:cs="仿宋" w:hint="eastAsia"/>
                      <w:b/>
                      <w:bCs/>
                      <w:sz w:val="24"/>
                      <w:szCs w:val="24"/>
                    </w:rPr>
                    <w:t>预警算法</w:t>
                  </w:r>
                </w:p>
              </w:tc>
              <w:tc>
                <w:tcPr>
                  <w:tcW w:type="dxa" w:w="2124"/>
                </w:tcPr>
                <w:p>
                  <w:pPr>
                    <w:spacing w:line="240" w:lineRule="auto"/>
                  </w:pPr>
                  <w:r>
                    <w:rPr>
                      <w:rFonts w:ascii="仿宋" w:hAnsi="仿宋" w:eastAsia="仿宋" w:cs="仿宋" w:hint="eastAsia"/>
                      <w:b/>
                      <w:bCs/>
                      <w:sz w:val="24"/>
                      <w:szCs w:val="24"/>
                    </w:rPr>
                    <w:t>13 维机理—数据融合特征 + 逻辑回归 + L2 正则 + 自动重训</w:t>
                  </w:r>
                </w:p>
              </w:tc>
              <w:tc>
                <w:tcPr>
                  <w:tcW w:type="dxa" w:w="2124"/>
                </w:tcPr>
                <w:p>
                  <w:pPr>
                    <w:spacing w:line="240" w:lineRule="auto"/>
                  </w:pPr>
                  <w:r>
                    <w:rPr>
                      <w:rFonts w:ascii="仿宋" w:hAnsi="仿宋" w:eastAsia="仿宋" w:cs="仿宋" w:hint="eastAsia"/>
                      <w:b/>
                      <w:bCs/>
                      <w:sz w:val="24"/>
                      <w:szCs w:val="24"/>
                    </w:rPr>
                    <w:t>纯 JS 实现可下沉边缘网关，系数可解释</w:t>
                  </w:r>
                </w:p>
              </w:tc>
            </w:tr>
            <w:tr>
              <w:tc>
                <w:tcPr>
                  <w:tcW w:type="dxa" w:w="2124"/>
                </w:tcPr>
                <w:p>
                  <w:pPr>
                    <w:spacing w:line="240" w:lineRule="auto"/>
                  </w:pPr>
                  <w:r>
                    <w:rPr>
                      <w:rFonts w:ascii="仿宋" w:hAnsi="仿宋" w:eastAsia="仿宋" w:cs="仿宋" w:hint="eastAsia"/>
                      <w:b/>
                      <w:bCs/>
                      <w:sz w:val="24"/>
                      <w:szCs w:val="24"/>
                    </w:rPr>
                    <w:t>VR/大屏层</w:t>
                  </w:r>
                </w:p>
              </w:tc>
              <w:tc>
                <w:tcPr>
                  <w:tcW w:type="dxa" w:w="2124"/>
                </w:tcPr>
                <w:p>
                  <w:pPr>
                    <w:spacing w:line="240" w:lineRule="auto"/>
                  </w:pPr>
                  <w:r>
                    <w:rPr>
                      <w:rFonts w:ascii="仿宋" w:hAnsi="仿宋" w:eastAsia="仿宋" w:cs="仿宋" w:hint="eastAsia"/>
                      <w:b/>
                      <w:bCs/>
                      <w:sz w:val="24"/>
                      <w:szCs w:val="24"/>
                    </w:rPr>
                    <w:t>渲染与交互</w:t>
                  </w:r>
                </w:p>
              </w:tc>
              <w:tc>
                <w:tcPr>
                  <w:tcW w:type="dxa" w:w="2124"/>
                </w:tcPr>
                <w:p>
                  <w:pPr>
                    <w:spacing w:line="240" w:lineRule="auto"/>
                  </w:pPr>
                  <w:r>
                    <w:rPr>
                      <w:rFonts w:ascii="仿宋" w:hAnsi="仿宋" w:eastAsia="仿宋" w:cs="仿宋" w:hint="eastAsia"/>
                      <w:b/>
                      <w:bCs/>
                      <w:sz w:val="24"/>
                      <w:szCs w:val="24"/>
                    </w:rPr>
                    <w:t>SVG / WebGL 数字孪生 + 六图层云图 + WebSocket 广播</w:t>
                  </w:r>
                </w:p>
              </w:tc>
              <w:tc>
                <w:tcPr>
                  <w:tcW w:type="dxa" w:w="2124"/>
                </w:tcPr>
                <w:p>
                  <w:pPr>
                    <w:spacing w:line="240" w:lineRule="auto"/>
                  </w:pPr>
                  <w:r>
                    <w:rPr>
                      <w:rFonts w:ascii="仿宋" w:hAnsi="仿宋" w:eastAsia="仿宋" w:cs="仿宋" w:hint="eastAsia"/>
                      <w:b/>
                      <w:bCs/>
                      <w:sz w:val="24"/>
                      <w:szCs w:val="24"/>
                    </w:rPr>
                    <w:t>弱渲染环境自动降级二维，多端同源同现</w:t>
                  </w:r>
                </w:p>
              </w:tc>
            </w:tr>
            <w:tr>
              <w:tc>
                <w:tcPr>
                  <w:tcW w:type="dxa" w:w="2124"/>
                </w:tcPr>
                <w:p>
                  <w:pPr>
                    <w:spacing w:line="240" w:lineRule="auto"/>
                  </w:pPr>
                  <w:r>
                    <w:rPr>
                      <w:rFonts w:ascii="仿宋" w:hAnsi="仿宋" w:eastAsia="仿宋" w:cs="仿宋" w:hint="eastAsia"/>
                      <w:b/>
                      <w:bCs/>
                      <w:sz w:val="24"/>
                      <w:szCs w:val="24"/>
                    </w:rPr>
                    <w:t>移动与沉浸端</w:t>
                  </w:r>
                </w:p>
              </w:tc>
              <w:tc>
                <w:tcPr>
                  <w:tcW w:type="dxa" w:w="2124"/>
                </w:tcPr>
                <w:p>
                  <w:pPr>
                    <w:spacing w:line="240" w:lineRule="auto"/>
                  </w:pPr>
                  <w:r>
                    <w:rPr>
                      <w:rFonts w:ascii="仿宋" w:hAnsi="仿宋" w:eastAsia="仿宋" w:cs="仿宋" w:hint="eastAsia"/>
                      <w:b/>
                      <w:bCs/>
                      <w:sz w:val="24"/>
                      <w:szCs w:val="24"/>
                    </w:rPr>
                    <w:t>终端适配</w:t>
                  </w:r>
                </w:p>
              </w:tc>
              <w:tc>
                <w:tcPr>
                  <w:tcW w:type="dxa" w:w="2124"/>
                </w:tcPr>
                <w:p>
                  <w:pPr>
                    <w:spacing w:line="240" w:lineRule="auto"/>
                  </w:pPr>
                  <w:r>
                    <w:rPr>
                      <w:rFonts w:ascii="仿宋" w:hAnsi="仿宋" w:eastAsia="仿宋" w:cs="仿宋" w:hint="eastAsia"/>
                      <w:b/>
                      <w:bCs/>
                      <w:sz w:val="24"/>
                      <w:szCs w:val="24"/>
                    </w:rPr>
                    <w:t>鸿蒙 ArkTS + VR 端 UDP 双向通道</w:t>
                  </w:r>
                </w:p>
              </w:tc>
              <w:tc>
                <w:tcPr>
                  <w:tcW w:type="dxa" w:w="2124"/>
                </w:tcPr>
                <w:p>
                  <w:pPr>
                    <w:spacing w:line="240" w:lineRule="auto"/>
                  </w:pPr>
                  <w:r>
                    <w:rPr>
                      <w:rFonts w:ascii="仿宋" w:hAnsi="仿宋" w:eastAsia="仿宋" w:cs="仿宋" w:hint="eastAsia"/>
                      <w:b/>
                      <w:bCs/>
                      <w:sz w:val="24"/>
                      <w:szCs w:val="24"/>
                    </w:rPr>
                    <w:t>国产化适配，与硬件同构上下行</w:t>
                  </w:r>
                </w:p>
              </w:tc>
            </w:tr>
          </w:tbl>
          <w:p w14:paraId="28A3E69A">
            <w:pPr>
              <w:keepNext w:val="0"/>
              <w:keepLines w:val="0"/>
              <w:pageBreakBefore w:val="0"/>
              <w:kinsoku/>
              <w:wordWrap/>
              <w:overflowPunct/>
              <w:topLinePunct w:val="0"/>
              <w:autoSpaceDE/>
              <w:autoSpaceDN/>
              <w:bidi w:val="0"/>
              <w:adjustRightInd/>
              <w:snapToGrid w:val="0"/>
              <w:spacing w:before="156" w:beforeLines="50" w:after="156" w:afterLines="50" w:line="300" w:lineRule="auto"/>
              <w:rPr>
                <w:rFonts w:hint="eastAsia" w:ascii="仿宋" w:hAnsi="仿宋" w:eastAsia="仿宋" w:cs="仿宋"/>
                <w:b w:val="0"/>
                <w:bCs w:val="0"/>
                <w:sz w:val="24"/>
                <w:szCs w:val="24"/>
              </w:rPr>
            </w:pPr>
          </w:p>
          <w:p w14:paraId="0943B8ED">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 拟解决的关键问题</w:t>
            </w:r>
          </w:p>
          <w:p w14:paraId="2376F041">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rPr>
              <w:t>按三个层次分别梳理，每个问题均给出拟采用的解决路径</w:t>
            </w:r>
            <w:r>
              <w:rPr>
                <w:rFonts w:hint="eastAsia" w:ascii="仿宋" w:hAnsi="仿宋" w:eastAsia="仿宋" w:cs="仿宋"/>
                <w:b w:val="0"/>
                <w:bCs w:val="0"/>
                <w:sz w:val="24"/>
                <w:szCs w:val="24"/>
                <w:lang w:eastAsia="zh-CN"/>
              </w:rPr>
              <w:t>：</w:t>
            </w:r>
          </w:p>
          <w:p w14:paraId="5AB67189">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2.1</w:t>
            </w:r>
            <w:r>
              <w:rPr>
                <w:rFonts w:hint="eastAsia" w:ascii="仿宋" w:hAnsi="仿宋" w:eastAsia="仿宋" w:cs="仿宋"/>
                <w:b w:val="0"/>
                <w:bCs w:val="0"/>
                <w:sz w:val="24"/>
                <w:szCs w:val="24"/>
              </w:rPr>
              <w:t>硬件层</w:t>
            </w:r>
          </w:p>
          <w:p w14:paraId="4FF3F350">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问题一：井下受限条件下的多参</w:t>
            </w:r>
            <w:r>
              <w:rPr>
                <w:rFonts w:hint="eastAsia" w:ascii="仿宋" w:hAnsi="仿宋" w:eastAsia="仿宋" w:cs="仿宋"/>
                <w:b w:val="0"/>
                <w:bCs w:val="0"/>
                <w:sz w:val="24"/>
                <w:szCs w:val="24"/>
                <w:lang w:val="en-US" w:eastAsia="zh-CN"/>
              </w:rPr>
              <w:t>数</w:t>
            </w:r>
            <w:r>
              <w:rPr>
                <w:rFonts w:hint="eastAsia" w:ascii="仿宋" w:hAnsi="仿宋" w:eastAsia="仿宋" w:cs="仿宋"/>
                <w:b w:val="0"/>
                <w:bCs w:val="0"/>
                <w:sz w:val="24"/>
                <w:szCs w:val="24"/>
              </w:rPr>
              <w:t>稳定感知与可靠传输</w:t>
            </w:r>
            <w:r>
              <w:rPr>
                <w:rFonts w:hint="eastAsia" w:ascii="仿宋" w:hAnsi="仿宋" w:eastAsia="仿宋" w:cs="仿宋"/>
                <w:b w:val="0"/>
                <w:bCs w:val="0"/>
                <w:sz w:val="24"/>
                <w:szCs w:val="24"/>
                <w:lang w:val="en-US" w:eastAsia="zh-CN"/>
              </w:rPr>
              <w:t>可能会受到</w:t>
            </w:r>
            <w:r>
              <w:rPr>
                <w:rFonts w:hint="eastAsia" w:ascii="仿宋" w:hAnsi="仿宋" w:eastAsia="仿宋" w:cs="仿宋"/>
                <w:b w:val="0"/>
                <w:bCs w:val="0"/>
                <w:sz w:val="24"/>
                <w:szCs w:val="24"/>
              </w:rPr>
              <w:t>巷道供电困难、粉尘潮湿、信号遮挡严重，单一传感器覆盖不足且易漂移</w:t>
            </w:r>
            <w:r>
              <w:rPr>
                <w:rFonts w:hint="eastAsia" w:ascii="仿宋" w:hAnsi="仿宋" w:eastAsia="仿宋" w:cs="仿宋"/>
                <w:b w:val="0"/>
                <w:bCs w:val="0"/>
                <w:sz w:val="24"/>
                <w:szCs w:val="24"/>
                <w:lang w:val="en-US" w:eastAsia="zh-CN"/>
              </w:rPr>
              <w:t>等因素的影响</w:t>
            </w:r>
            <w:r>
              <w:rPr>
                <w:rFonts w:hint="eastAsia" w:ascii="仿宋" w:hAnsi="仿宋" w:eastAsia="仿宋" w:cs="仿宋"/>
                <w:b w:val="0"/>
                <w:bCs w:val="0"/>
                <w:sz w:val="24"/>
                <w:szCs w:val="24"/>
              </w:rPr>
              <w:t>。拟以五类参量组合布设（工作面 1.5 m 间距 + 巷道 50 m 测站 + 岩溶区顶板钻孔 + 风流断面环境量）保证覆盖，以 LoRa 自组网 + 边缘网关中继保证链路，以低功耗休眠采集与实物标定系数表保证精度，并通过 MQTT 遗嘱/retain 与 UDP 双通道互为备份。</w:t>
            </w:r>
          </w:p>
          <w:p>
            <w:pPr>
              <w:spacing w:line="360" w:lineRule="auto" w:before="0" w:after="0"/>
              <w:ind w:firstLine="480"/>
            </w:pPr>
            <w:r>
              <w:rPr>
                <w:rFonts w:ascii="仿宋" w:hAnsi="仿宋" w:eastAsia="仿宋" w:cs="仿宋" w:hint="eastAsia"/>
                <w:sz w:val="24"/>
                <w:szCs w:val="24"/>
              </w:rPr>
              <w:t>式（15）LoRa 链路预算、丢包率与续航</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FSPL(dB) = 32.44 + 20 · lg f(MHz) + 20 · lg d(km)</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P_rx = P_tx + G_tx − L_path + G_rx</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M_余量 = P_rx − S_rx （M_余量 &gt; 0 视为链路可用）</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PLR = 1 − N_recv / N_sent</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T_续航 = C_电池 / I_平均, I_平均 = I_休眠 + duty · (I_发射 − I_休眠)</w:t>
            </w:r>
            <w:r>
              <w:rPr>
                <w:rFonts w:ascii="仿宋" w:hAnsi="仿宋" w:eastAsia="仿宋" w:cs="仿宋" w:hint="eastAsia"/>
                <w:sz w:val="24"/>
                <w:szCs w:val="24"/>
              </w:rPr>
              <w:tab/>
            </w:r>
            <w:r>
              <w:rPr>
                <w:rFonts w:ascii="仿宋" w:hAnsi="仿宋" w:eastAsia="仿宋" w:cs="仿宋" w:hint="eastAsia"/>
                <w:sz w:val="24"/>
                <w:szCs w:val="24"/>
              </w:rPr>
              <w:t>（15）</w:t>
            </w:r>
          </w:p>
          <w:p w14:paraId="0C99FD86">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问题二：现有终端偏重数据上行，阈值调整与告警反馈难以直达现场。拟打通 /cmd、/thr、/status 下行主题，实现阈值热更新与就地 OLED/声光告警，使硬件层成为预警闭环的执行末端而非单纯采集源。</w:t>
            </w:r>
          </w:p>
          <w:p w14:paraId="4278AAA5">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w:t>
            </w:r>
            <w:r>
              <w:rPr>
                <w:rFonts w:hint="eastAsia" w:ascii="仿宋" w:hAnsi="仿宋" w:eastAsia="仿宋" w:cs="仿宋"/>
                <w:b w:val="0"/>
                <w:bCs w:val="0"/>
                <w:sz w:val="24"/>
                <w:szCs w:val="24"/>
              </w:rPr>
              <w:t>软件层</w:t>
            </w:r>
          </w:p>
          <w:p w14:paraId="27E5E1F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当</w:t>
            </w:r>
            <w:r>
              <w:rPr>
                <w:rFonts w:hint="eastAsia" w:ascii="仿宋" w:hAnsi="仿宋" w:eastAsia="仿宋" w:cs="仿宋"/>
                <w:b w:val="0"/>
                <w:bCs w:val="0"/>
                <w:sz w:val="24"/>
                <w:szCs w:val="24"/>
              </w:rPr>
              <w:t>井下多源异构监测数据的统一</w:t>
            </w:r>
            <w:r>
              <w:rPr>
                <w:rFonts w:hint="eastAsia" w:ascii="仿宋" w:hAnsi="仿宋" w:eastAsia="仿宋" w:cs="仿宋"/>
                <w:b w:val="0"/>
                <w:bCs w:val="0"/>
                <w:sz w:val="24"/>
                <w:szCs w:val="24"/>
                <w:lang w:val="en-US" w:eastAsia="zh-CN"/>
              </w:rPr>
              <w:t>管理和调节</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由于</w:t>
            </w:r>
            <w:r>
              <w:rPr>
                <w:rFonts w:hint="eastAsia" w:ascii="仿宋" w:hAnsi="仿宋" w:eastAsia="仿宋" w:cs="仿宋"/>
                <w:b w:val="0"/>
                <w:bCs w:val="0"/>
                <w:sz w:val="24"/>
                <w:szCs w:val="24"/>
              </w:rPr>
              <w:t>各系统协议、采样频率、量纲与时间基准不一，</w:t>
            </w:r>
            <w:r>
              <w:rPr>
                <w:rFonts w:hint="eastAsia" w:ascii="仿宋" w:hAnsi="仿宋" w:eastAsia="仿宋" w:cs="仿宋"/>
                <w:b w:val="0"/>
                <w:bCs w:val="0"/>
                <w:sz w:val="24"/>
                <w:szCs w:val="24"/>
                <w:lang w:val="en-US" w:eastAsia="zh-CN"/>
              </w:rPr>
              <w:t>导致</w:t>
            </w:r>
            <w:r>
              <w:rPr>
                <w:rFonts w:hint="eastAsia" w:ascii="仿宋" w:hAnsi="仿宋" w:eastAsia="仿宋" w:cs="仿宋"/>
                <w:b w:val="0"/>
                <w:bCs w:val="0"/>
                <w:sz w:val="24"/>
                <w:szCs w:val="24"/>
              </w:rPr>
              <w:t>数据碎片化严重。拟以标准化主题体系与统一报文规范（ID 前缀校验、缺失值占位、保留字段处理）解决接入，以时间对齐与滑动窗口统计解决多参量融合。</w:t>
            </w:r>
          </w:p>
          <w:p>
            <w:pPr>
              <w:spacing w:line="360" w:lineRule="auto" w:before="0" w:after="0"/>
              <w:ind w:firstLine="480"/>
            </w:pPr>
            <w:r>
              <w:rPr>
                <w:rFonts w:ascii="仿宋" w:hAnsi="仿宋" w:eastAsia="仿宋" w:cs="仿宋" w:hint="eastAsia"/>
                <w:sz w:val="24"/>
                <w:szCs w:val="24"/>
              </w:rPr>
              <w:t>每个参量在窗口内提取式（6）四类统计量，与机理量合并构成 13 维特征向量。</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μ = (1 / W) · Σ xᵢ</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σ = √[ (1 / W) · Σ (xᵢ − μ)² ]</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Δpk = max(x) − min(x)</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r = (x_t − x_(t−1)) / Δt</w:t>
            </w:r>
            <w:r>
              <w:rPr>
                <w:rFonts w:ascii="仿宋" w:hAnsi="仿宋" w:eastAsia="仿宋" w:cs="仿宋" w:hint="eastAsia"/>
                <w:sz w:val="24"/>
                <w:szCs w:val="24"/>
              </w:rPr>
              <w:tab/>
            </w:r>
            <w:r>
              <w:rPr>
                <w:rFonts w:ascii="仿宋" w:hAnsi="仿宋" w:eastAsia="仿宋" w:cs="仿宋" w:hint="eastAsia"/>
                <w:sz w:val="24"/>
                <w:szCs w:val="24"/>
              </w:rPr>
              <w:t>（6）</w:t>
            </w:r>
          </w:p>
          <w:p>
            <w:pPr>
              <w:spacing w:line="360" w:lineRule="auto" w:before="0" w:after="0"/>
              <w:ind w:firstLine="480"/>
            </w:pPr>
            <w:r>
              <w:rPr>
                <w:rFonts w:ascii="仿宋" w:hAnsi="仿宋" w:eastAsia="仿宋" w:cs="仿宋" w:hint="eastAsia"/>
                <w:sz w:val="24"/>
                <w:szCs w:val="24"/>
              </w:rPr>
              <w:t>变量：W 为窗口长度；μ、σ 为窗口内均值与标准差；Δpk 为峰峰值；r 为变化率。</w:t>
            </w:r>
          </w:p>
          <w:p>
            <w:pPr>
              <w:spacing w:line="360" w:lineRule="auto" w:before="0" w:after="0"/>
              <w:ind w:firstLine="480"/>
            </w:pPr>
            <w:r>
              <w:rPr>
                <w:rFonts w:ascii="仿宋" w:hAnsi="仿宋" w:eastAsia="仿宋" w:cs="仿宋" w:hint="eastAsia"/>
                <w:sz w:val="24"/>
                <w:szCs w:val="24"/>
              </w:rPr>
              <w:t>式（7）基准偏移归一化</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ξᵢ = clip( (xᵢ − Bᵢ) / (Rᵢ − Bᵢ), 0, 1 )</w:t>
            </w:r>
            <w:r>
              <w:rPr>
                <w:rFonts w:ascii="仿宋" w:hAnsi="仿宋" w:eastAsia="仿宋" w:cs="仿宋" w:hint="eastAsia"/>
                <w:sz w:val="24"/>
                <w:szCs w:val="24"/>
              </w:rPr>
              <w:tab/>
            </w:r>
            <w:r>
              <w:rPr>
                <w:rFonts w:ascii="仿宋" w:hAnsi="仿宋" w:eastAsia="仿宋" w:cs="仿宋" w:hint="eastAsia"/>
                <w:sz w:val="24"/>
                <w:szCs w:val="24"/>
              </w:rPr>
              <w:t>（7）</w:t>
            </w:r>
          </w:p>
          <w:p>
            <w:pPr>
              <w:spacing w:line="360" w:lineRule="auto" w:before="0" w:after="0"/>
              <w:ind w:firstLine="480"/>
            </w:pPr>
            <w:r>
              <w:rPr>
                <w:rFonts w:ascii="仿宋" w:hAnsi="仿宋" w:eastAsia="仿宋" w:cs="仿宋" w:hint="eastAsia"/>
                <w:sz w:val="24"/>
                <w:szCs w:val="24"/>
              </w:rPr>
              <w:t>变量：Bᵢ 为第 i 个参量的临界基准；Rᵢ 为对应红色阈值；ξᵢ 为归一化场强（0–1）。对应正文"从多维度设置参量临界基准"。</w:t>
            </w:r>
          </w:p>
          <w:p w14:paraId="2933D8A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二</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地处</w:t>
            </w:r>
            <w:r>
              <w:rPr>
                <w:rFonts w:hint="eastAsia" w:ascii="仿宋" w:hAnsi="仿宋" w:eastAsia="仿宋" w:cs="仿宋"/>
                <w:b w:val="0"/>
                <w:bCs w:val="0"/>
                <w:sz w:val="24"/>
                <w:szCs w:val="24"/>
              </w:rPr>
              <w:t>复杂地质条件下预警模型</w:t>
            </w:r>
            <w:r>
              <w:rPr>
                <w:rFonts w:hint="eastAsia" w:ascii="仿宋" w:hAnsi="仿宋" w:eastAsia="仿宋" w:cs="仿宋"/>
                <w:b w:val="0"/>
                <w:bCs w:val="0"/>
                <w:sz w:val="24"/>
                <w:szCs w:val="24"/>
                <w:lang w:val="en-US" w:eastAsia="zh-CN"/>
              </w:rPr>
              <w:t>可能出现误报和适应性差的问题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如</w:t>
            </w:r>
            <w:r>
              <w:rPr>
                <w:rFonts w:hint="eastAsia" w:ascii="仿宋" w:hAnsi="仿宋" w:eastAsia="仿宋" w:cs="仿宋"/>
                <w:b w:val="0"/>
                <w:bCs w:val="0"/>
                <w:sz w:val="24"/>
                <w:szCs w:val="24"/>
              </w:rPr>
              <w:t>岩溶区构造与承压水扰动使工况多变，纯阈值易误报、纯黑盒模型难落地。拟以机理特征（耦合强度/广度）注入、难负样本加权、工作点阈值可调与真实回流数据自动重训（增量 &gt;200 条触发）加以解决。</w:t>
            </w:r>
          </w:p>
          <w:p>
            <w:pPr>
              <w:spacing w:line="360" w:lineRule="auto" w:before="0" w:after="0"/>
              <w:ind w:firstLine="480"/>
            </w:pPr>
            <w:r>
              <w:rPr>
                <w:rFonts w:ascii="仿宋" w:hAnsi="仿宋" w:eastAsia="仿宋" w:cs="仿宋" w:hint="eastAsia"/>
                <w:sz w:val="24"/>
                <w:szCs w:val="24"/>
              </w:rPr>
              <w:t>模型输出灾变概率如式（8），工作点 T 当前取 0.70，是在漏报与误报之间取的工程可接受平衡，不是理论最优。</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z = β₀ + Σᵢ₌₁¹³ βᵢ · xᵢ′</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 = 1 / (1 + e^(−z))</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判定：p ≥ T（当前工作点 T = 0.70）</w:t>
            </w:r>
            <w:r>
              <w:rPr>
                <w:rFonts w:ascii="仿宋" w:hAnsi="仿宋" w:eastAsia="仿宋" w:cs="仿宋" w:hint="eastAsia"/>
                <w:sz w:val="24"/>
                <w:szCs w:val="24"/>
              </w:rPr>
              <w:tab/>
            </w:r>
            <w:r>
              <w:rPr>
                <w:rFonts w:ascii="仿宋" w:hAnsi="仿宋" w:eastAsia="仿宋" w:cs="仿宋" w:hint="eastAsia"/>
                <w:sz w:val="24"/>
                <w:szCs w:val="24"/>
              </w:rPr>
              <w:t>（8）</w:t>
            </w:r>
          </w:p>
          <w:p>
            <w:pPr>
              <w:spacing w:line="360" w:lineRule="auto" w:before="0" w:after="0"/>
              <w:ind w:firstLine="480"/>
            </w:pPr>
            <w:r>
              <w:rPr>
                <w:rFonts w:ascii="仿宋" w:hAnsi="仿宋" w:eastAsia="仿宋" w:cs="仿宋" w:hint="eastAsia"/>
                <w:sz w:val="24"/>
                <w:szCs w:val="24"/>
              </w:rPr>
              <w:t>变量：βᵢ 为回归系数；z 为线性判别值；p 为灾变概率。</w:t>
            </w:r>
          </w:p>
          <w:p>
            <w:pPr>
              <w:spacing w:line="360" w:lineRule="auto" w:before="0" w:after="0"/>
              <w:ind w:firstLine="480"/>
            </w:pPr>
            <w:r>
              <w:rPr>
                <w:rFonts w:ascii="仿宋" w:hAnsi="仿宋" w:eastAsia="仿宋" w:cs="仿宋" w:hint="eastAsia"/>
                <w:sz w:val="24"/>
                <w:szCs w:val="24"/>
              </w:rPr>
              <w:t>式（9）目标函数（L2 正则 + 漏报代价加权 + 难负样本）</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J(β) = −(1 / N) · Σⱼ wⱼ · [ yⱼ · ln pⱼ + (1 − yⱼ) · ln(1 − pⱼ) ] + (λ / 2) · ‖β‖²</w:t>
            </w:r>
            <w:r>
              <w:rPr>
                <w:rFonts w:ascii="仿宋" w:hAnsi="仿宋" w:eastAsia="仿宋" w:cs="仿宋" w:hint="eastAsia"/>
                <w:sz w:val="24"/>
                <w:szCs w:val="24"/>
              </w:rPr>
              <w:tab/>
            </w:r>
            <w:r>
              <w:rPr>
                <w:rFonts w:ascii="仿宋" w:hAnsi="仿宋" w:eastAsia="仿宋" w:cs="仿宋" w:hint="eastAsia"/>
                <w:sz w:val="24"/>
                <w:szCs w:val="24"/>
              </w:rPr>
              <w:t>（9）</w:t>
            </w:r>
          </w:p>
          <w:p>
            <w:pPr>
              <w:spacing w:line="360" w:lineRule="auto" w:before="0" w:after="0"/>
              <w:ind w:firstLine="480"/>
            </w:pPr>
            <w:r>
              <w:rPr>
                <w:rFonts w:ascii="仿宋" w:hAnsi="仿宋" w:eastAsia="仿宋" w:cs="仿宋" w:hint="eastAsia"/>
                <w:sz w:val="24"/>
                <w:szCs w:val="24"/>
              </w:rPr>
              <w:t>变量：wⱼ 为样本权重（漏报样本加权更大）；yⱼ 为真实标签；λ 为正则强度；‖β‖² 为 L2 惩罚项。对应正文"漏报代价优先的样本加权与难负样本策略"。</w:t>
            </w:r>
          </w:p>
          <w:p>
            <w:pPr>
              <w:spacing w:line="360" w:lineRule="auto" w:before="0" w:after="0"/>
              <w:ind w:firstLine="480"/>
            </w:pPr>
            <w:r>
              <w:rPr>
                <w:rFonts w:ascii="仿宋" w:hAnsi="仿宋" w:eastAsia="仿宋" w:cs="仿宋" w:hint="eastAsia"/>
                <w:sz w:val="24"/>
                <w:szCs w:val="24"/>
              </w:rPr>
              <w:t>多物理场耦合作用按式（10）显式编码为耦合强度与耦合广度两个特征，再进入式（8）参与判别。</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ξᵢ = clip( (xᵢ − Bᵢ) / (Rᵢ − Bᵢ), 0, 1 )</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B_耦合 = (1 / M) · Σᵢ 1{ ξᵢ ≥ θᵢ }</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S_耦合 = ( Πᵢ₌₁ᴹ ξᵢ )^(1 / M)</w:t>
            </w:r>
            <w:r>
              <w:rPr>
                <w:rFonts w:ascii="仿宋" w:hAnsi="仿宋" w:eastAsia="仿宋" w:cs="仿宋" w:hint="eastAsia"/>
                <w:sz w:val="24"/>
                <w:szCs w:val="24"/>
              </w:rPr>
              <w:tab/>
            </w:r>
            <w:r>
              <w:rPr>
                <w:rFonts w:ascii="仿宋" w:hAnsi="仿宋" w:eastAsia="仿宋" w:cs="仿宋" w:hint="eastAsia"/>
                <w:sz w:val="24"/>
                <w:szCs w:val="24"/>
              </w:rPr>
              <w:t>（10）</w:t>
            </w:r>
          </w:p>
          <w:p>
            <w:pPr>
              <w:spacing w:line="360" w:lineRule="auto" w:before="0" w:after="0"/>
              <w:ind w:firstLine="480"/>
            </w:pPr>
            <w:r>
              <w:rPr>
                <w:rFonts w:ascii="仿宋" w:hAnsi="仿宋" w:eastAsia="仿宋" w:cs="仿宋" w:hint="eastAsia"/>
                <w:sz w:val="24"/>
                <w:szCs w:val="24"/>
              </w:rPr>
              <w:t>变量：M 为参与耦合的物理场数（应力、位移、水压、震动、锚杆、环境）；θᵢ 为该场基准；B_耦合 为超基准场数占比（广度）；S_耦合 为几何均值形式的强度。</w:t>
            </w:r>
          </w:p>
          <w:p>
            <w:pPr>
              <w:spacing w:line="360" w:lineRule="auto" w:before="0" w:after="0"/>
              <w:ind w:firstLine="480"/>
            </w:pPr>
            <w:r>
              <w:rPr>
                <w:rFonts w:ascii="仿宋" w:hAnsi="仿宋" w:eastAsia="仿宋" w:cs="仿宋" w:hint="eastAsia"/>
                <w:sz w:val="24"/>
                <w:szCs w:val="24"/>
              </w:rPr>
              <w:t>机理说明：几何均值对"任一维度接近零"高度敏感，因此能把"单场突增"与"多场同涨"区分开，这正是"耦合"语义所在。</w:t>
            </w:r>
          </w:p>
          <w:p>
            <w:pPr>
              <w:spacing w:line="360" w:lineRule="auto" w:before="0" w:after="0"/>
              <w:ind w:firstLine="480"/>
            </w:pPr>
            <w:r>
              <w:rPr>
                <w:rFonts w:ascii="仿宋" w:hAnsi="仿宋" w:eastAsia="仿宋" w:cs="仿宋" w:hint="eastAsia"/>
                <w:sz w:val="24"/>
                <w:szCs w:val="24"/>
              </w:rPr>
              <w:t>式（11）综合威胁度</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Threat = α · S_耦合 + (1 − α) · B_耦合</w:t>
            </w:r>
            <w:r>
              <w:rPr>
                <w:rFonts w:ascii="仿宋" w:hAnsi="仿宋" w:eastAsia="仿宋" w:cs="仿宋" w:hint="eastAsia"/>
                <w:sz w:val="24"/>
                <w:szCs w:val="24"/>
              </w:rPr>
              <w:tab/>
            </w:r>
            <w:r>
              <w:rPr>
                <w:rFonts w:ascii="仿宋" w:hAnsi="仿宋" w:eastAsia="仿宋" w:cs="仿宋" w:hint="eastAsia"/>
                <w:sz w:val="24"/>
                <w:szCs w:val="24"/>
              </w:rPr>
              <w:t>（11）</w:t>
            </w:r>
          </w:p>
          <w:p>
            <w:pPr>
              <w:spacing w:line="360" w:lineRule="auto" w:before="0" w:after="0"/>
              <w:ind w:firstLine="480"/>
            </w:pPr>
            <w:r>
              <w:rPr>
                <w:rFonts w:ascii="仿宋" w:hAnsi="仿宋" w:eastAsia="仿宋" w:cs="仿宋" w:hint="eastAsia"/>
                <w:sz w:val="24"/>
                <w:szCs w:val="24"/>
              </w:rPr>
              <w:t>变量：α 为强度与广度的权衡系数；Threat 与该参量临界基准 Th₀ 比较，对应正文"构建威胁度"。</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7371" w:hRule="atLeast"/>
              </w:trPr>
              <w:tc>
                <w:tcPr>
                  <w:tcW w:type="dxa" w:w="8499"/>
                </w:tcPr>
                <w:p>
                  <w:pPr>
                    <w:spacing w:line="360" w:lineRule="auto"/>
                    <w:jc w:val="center"/>
                  </w:pPr>
                  <w:r>
                    <w:rPr>
                      <w:rFonts w:ascii="仿宋" w:hAnsi="仿宋" w:eastAsia="仿宋"/>
                      <w:b/>
                      <w:color w:val="A0A0A0"/>
                      <w:sz w:val="28"/>
                    </w:rPr>
                    <w:t>【图5 占位框】</w:t>
                  </w:r>
                </w:p>
                <w:p>
                  <w:pPr>
                    <w:jc w:val="center"/>
                  </w:pPr>
                  <w:r>
                    <w:rPr>
                      <w:rFonts w:ascii="仿宋" w:hAnsi="仿宋" w:eastAsia="仿宋"/>
                      <w:b w:val="0"/>
                      <w:color w:val="A0A0A0"/>
                      <w:sz w:val="21"/>
                    </w:rPr>
                    <w:t>建议尺寸：宽 11 cm × 高 13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图5  MCFLR 预警算法流程图</w:t>
            </w:r>
          </w:p>
          <w:p>
            <w:pPr>
              <w:spacing w:line="360" w:lineRule="auto" w:before="0" w:after="0"/>
              <w:jc w:val="center"/>
            </w:pPr>
            <w:r>
              <w:rPr>
                <w:rFonts w:ascii="仿宋" w:hAnsi="仿宋" w:eastAsia="仿宋" w:cs="仿宋" w:hint="eastAsia"/>
                <w:sz w:val="24"/>
                <w:szCs w:val="24"/>
              </w:rPr>
              <w:t>机理特征（耦合强度 / 广度）显式注入后进入逻辑回归判别，既保留力学机理的可解释性，又具备数据驱动自学习能力。</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670" w:hRule="atLeast"/>
              </w:trPr>
              <w:tc>
                <w:tcPr>
                  <w:tcW w:type="dxa" w:w="8499"/>
                </w:tcPr>
                <w:p>
                  <w:pPr>
                    <w:spacing w:line="360" w:lineRule="auto"/>
                    <w:jc w:val="center"/>
                  </w:pPr>
                  <w:r>
                    <w:rPr>
                      <w:rFonts w:ascii="仿宋" w:hAnsi="仿宋" w:eastAsia="仿宋"/>
                      <w:b/>
                      <w:color w:val="A0A0A0"/>
                      <w:sz w:val="28"/>
                    </w:rPr>
                    <w:t>【图6 占位框】</w:t>
                  </w:r>
                </w:p>
                <w:p>
                  <w:pPr>
                    <w:jc w:val="center"/>
                  </w:pPr>
                  <w:r>
                    <w:rPr>
                      <w:rFonts w:ascii="仿宋" w:hAnsi="仿宋" w:eastAsia="仿宋"/>
                      <w:b w:val="0"/>
                      <w:color w:val="A0A0A0"/>
                      <w:sz w:val="21"/>
                    </w:rPr>
                    <w:t>建议尺寸：宽 12 cm × 高 10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图6  模型自动重训练流程图</w:t>
            </w:r>
          </w:p>
          <w:p>
            <w:pPr>
              <w:spacing w:line="360" w:lineRule="auto" w:before="0" w:after="0"/>
              <w:jc w:val="center"/>
            </w:pPr>
            <w:r>
              <w:rPr>
                <w:rFonts w:ascii="仿宋" w:hAnsi="仿宋" w:eastAsia="仿宋" w:cs="仿宋" w:hint="eastAsia"/>
                <w:sz w:val="24"/>
                <w:szCs w:val="24"/>
              </w:rPr>
              <w:t>重训练全程不中断在线服务，参数持久化保存后热加载，用于改善现场适应性。</w:t>
            </w:r>
          </w:p>
          <w:p w14:paraId="0C91AEC7">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三</w:t>
            </w:r>
            <w:r>
              <w:rPr>
                <w:rFonts w:hint="eastAsia" w:ascii="仿宋" w:hAnsi="仿宋" w:eastAsia="仿宋" w:cs="仿宋"/>
                <w:b w:val="0"/>
                <w:bCs w:val="0"/>
                <w:sz w:val="24"/>
                <w:szCs w:val="24"/>
              </w:rPr>
              <w:t>： 井下带宽与上位算力有限。拟以纯 JS 实现的轻量模型、Redis 缓存与内存降级、批量写入优化，验证模型下沉边缘网关的可行性，保障接口响应 &lt;500 ms、预警端到端 ≤5 s。</w:t>
            </w:r>
          </w:p>
          <w:p w14:paraId="2DC1882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2.3</w:t>
            </w:r>
            <w:r>
              <w:rPr>
                <w:rFonts w:hint="eastAsia" w:ascii="仿宋" w:hAnsi="仿宋" w:eastAsia="仿宋" w:cs="仿宋"/>
                <w:b w:val="0"/>
                <w:bCs w:val="0"/>
                <w:sz w:val="24"/>
                <w:szCs w:val="24"/>
              </w:rPr>
              <w:t>VR/大屏层</w:t>
            </w:r>
          </w:p>
          <w:p w14:paraId="7D843A41">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：二维图表难以支撑多方联合研判，矿压显现过程不可见。拟以三维云图切片 + 地质构造空间关联 + 链路拓扑动画 + 长按连锁推演构建透明感知，并开发时间轴回放与应急方案推演。</w:t>
            </w:r>
          </w:p>
          <w:p w14:paraId="6273EA58">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二</w:t>
            </w:r>
            <w:r>
              <w:rPr>
                <w:rFonts w:hint="eastAsia" w:ascii="仿宋" w:hAnsi="仿宋" w:eastAsia="仿宋" w:cs="仿宋"/>
                <w:b w:val="0"/>
                <w:bCs w:val="0"/>
                <w:sz w:val="24"/>
                <w:szCs w:val="24"/>
              </w:rPr>
              <w:t>：大屏、Web、鸿蒙、VR 多端技术栈异构，统信/Deepin 等环境存在 WebGL 软件渲染与字体差异。拟统一数据渲染层保证同源同现，实现渲染能力探测与 SVG 降级路径。</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402" w:hRule="atLeast"/>
              </w:trPr>
              <w:tc>
                <w:tcPr>
                  <w:tcW w:type="dxa" w:w="8499"/>
                </w:tcPr>
                <w:p>
                  <w:pPr>
                    <w:spacing w:line="360" w:lineRule="auto"/>
                    <w:jc w:val="center"/>
                  </w:pPr>
                  <w:r>
                    <w:rPr>
                      <w:rFonts w:ascii="仿宋" w:hAnsi="仿宋" w:eastAsia="仿宋"/>
                      <w:b/>
                      <w:color w:val="A0A0A0"/>
                      <w:sz w:val="28"/>
                    </w:rPr>
                    <w:t>【图12 占位框】</w:t>
                  </w:r>
                </w:p>
                <w:p>
                  <w:pPr>
                    <w:jc w:val="center"/>
                  </w:pPr>
                  <w:r>
                    <w:rPr>
                      <w:rFonts w:ascii="仿宋" w:hAnsi="仿宋" w:eastAsia="仿宋"/>
                      <w:b w:val="0"/>
                      <w:color w:val="A0A0A0"/>
                      <w:sz w:val="21"/>
                    </w:rPr>
                    <w:t>建议尺寸：宽 12 cm × 高 6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图12  多端一致渲染与降级流程图</w:t>
            </w:r>
          </w:p>
          <w:p>
            <w:pPr>
              <w:spacing w:line="360" w:lineRule="auto" w:before="0" w:after="0"/>
              <w:jc w:val="center"/>
            </w:pPr>
            <w:r>
              <w:rPr>
                <w:rFonts w:ascii="仿宋" w:hAnsi="仿宋" w:eastAsia="仿宋" w:cs="仿宋" w:hint="eastAsia"/>
                <w:sz w:val="24"/>
                <w:szCs w:val="24"/>
              </w:rPr>
              <w:t>针对统信 / Deepin 等环境的软件渲染与字体差异，统一数据渲染层保证多端一致并保留降级路径。</w:t>
            </w:r>
          </w:p>
          <w:p w14:paraId="6756E31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2.4</w:t>
            </w:r>
            <w:r>
              <w:rPr>
                <w:rFonts w:hint="eastAsia" w:ascii="仿宋" w:hAnsi="仿宋" w:eastAsia="仿宋" w:cs="仿宋"/>
                <w:b w:val="0"/>
                <w:bCs w:val="0"/>
                <w:sz w:val="24"/>
                <w:szCs w:val="24"/>
              </w:rPr>
              <w:t>三层贯通</w:t>
            </w:r>
          </w:p>
          <w:p w14:paraId="24963D60">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：硬件固件、软件服务与前端渲染若各自约定字段，集成时返工成本高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容易导致数据漂移，难以实现真正互联</w:t>
            </w:r>
            <w:r>
              <w:rPr>
                <w:rFonts w:hint="eastAsia" w:ascii="仿宋" w:hAnsi="仿宋" w:eastAsia="仿宋" w:cs="仿宋"/>
                <w:b w:val="0"/>
                <w:bCs w:val="0"/>
                <w:sz w:val="24"/>
                <w:szCs w:val="24"/>
              </w:rPr>
              <w:t>。拟</w:t>
            </w:r>
            <w:r>
              <w:rPr>
                <w:rFonts w:hint="eastAsia" w:ascii="仿宋" w:hAnsi="仿宋" w:eastAsia="仿宋" w:cs="仿宋"/>
                <w:b w:val="0"/>
                <w:bCs w:val="0"/>
                <w:sz w:val="24"/>
                <w:szCs w:val="24"/>
                <w:lang w:val="en-US" w:eastAsia="zh-CN"/>
              </w:rPr>
              <w:t>对</w:t>
            </w:r>
            <w:r>
              <w:rPr>
                <w:rFonts w:hint="eastAsia" w:ascii="仿宋" w:hAnsi="仿宋" w:eastAsia="仿宋" w:cs="仿宋"/>
                <w:b w:val="0"/>
                <w:bCs w:val="0"/>
                <w:sz w:val="24"/>
                <w:szCs w:val="24"/>
              </w:rPr>
              <w:t>唯一接口契约</w:t>
            </w:r>
            <w:r>
              <w:rPr>
                <w:rFonts w:hint="eastAsia" w:ascii="仿宋" w:hAnsi="仿宋" w:eastAsia="仿宋" w:cs="仿宋"/>
                <w:b w:val="0"/>
                <w:bCs w:val="0"/>
                <w:sz w:val="24"/>
                <w:szCs w:val="24"/>
                <w:lang w:val="en-US" w:eastAsia="zh-CN"/>
              </w:rPr>
              <w:t>进行冻结</w:t>
            </w:r>
            <w:r>
              <w:rPr>
                <w:rFonts w:hint="eastAsia" w:ascii="仿宋" w:hAnsi="仿宋" w:eastAsia="仿宋" w:cs="仿宋"/>
                <w:b w:val="0"/>
                <w:bCs w:val="0"/>
                <w:sz w:val="24"/>
                <w:szCs w:val="24"/>
              </w:rPr>
              <w:t>并以契约测试（含真机数据校验脚本与调试页）纳入自动化用例（当前 6 套件 36 项），配合风险登记册对 STM32 真机联调（唯一高风险项）等逐条跟踪闭环。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【图10 占位框】</w:t>
                  </w:r>
                </w:p>
                <w:p>
                  <w:pPr>
                    <w:jc w:val="center"/>
                  </w:pPr>
                  <w:r>
                    <w:rPr>
                      <w:rFonts w:ascii="仿宋" w:hAnsi="仿宋" w:eastAsia="仿宋"/>
                      <w:b w:val="0"/>
                      <w:color w:val="A0A0A0"/>
                      <w:sz w:val="21"/>
                    </w:rPr>
                    <w:t>建议尺寸：宽 14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图10  网络通信与安全拓扑图</w:t>
            </w:r>
          </w:p>
          <w:p>
            <w:pPr>
              <w:spacing w:line="360" w:lineRule="auto" w:before="0" w:after="0"/>
              <w:jc w:val="center"/>
            </w:pPr>
            <w:r>
              <w:rPr>
                <w:rFonts w:ascii="仿宋" w:hAnsi="仿宋" w:eastAsia="仿宋" w:cs="仿宋" w:hint="eastAsia"/>
                <w:sz w:val="24"/>
                <w:szCs w:val="24"/>
              </w:rPr>
              <w:t>MQTT 与 UDP 双通道互为备份；下行主题承担阈值热更新与就地告警指令，链路可靠由 retain 与遗嘱消息保障。</w:t>
            </w:r>
          </w:p>
          <w:p w14:paraId="4C1B95E8">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textAlignment w:val="auto"/>
              <w:rPr>
                <w:rFonts w:hint="eastAsia" w:ascii="仿宋" w:hAnsi="仿宋" w:eastAsia="仿宋" w:cs="仿宋"/>
                <w:b w:val="0"/>
                <w:bCs w:val="0"/>
                <w:sz w:val="24"/>
                <w:szCs w:val="24"/>
              </w:rPr>
            </w:pPr>
          </w:p>
          <w:p w14:paraId="3C8EE3C7">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3.</w:t>
            </w:r>
            <w:r>
              <w:rPr>
                <w:rFonts w:hint="eastAsia" w:ascii="宋体" w:hAnsi="宋体"/>
                <w:b/>
                <w:bCs/>
                <w:sz w:val="24"/>
              </w:rPr>
              <w:t>预期成果</w:t>
            </w:r>
          </w:p>
          <w:p w14:paraId="14B5BC50">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.1. 技术成果</w:t>
            </w:r>
          </w:p>
          <w:p w14:paraId="0939A6BE">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1）形成</w:t>
            </w:r>
            <w:r>
              <w:rPr>
                <w:rFonts w:hint="eastAsia" w:ascii="仿宋" w:hAnsi="仿宋" w:eastAsia="仿宋" w:cs="仿宋"/>
                <w:b w:val="0"/>
                <w:bCs w:val="0"/>
                <w:sz w:val="24"/>
              </w:rPr>
              <w:t>多</w:t>
            </w:r>
            <w:r>
              <w:rPr>
                <w:rFonts w:hint="eastAsia" w:ascii="仿宋" w:hAnsi="仿宋" w:eastAsia="仿宋" w:cs="仿宋"/>
                <w:b w:val="0"/>
                <w:bCs w:val="0"/>
                <w:sz w:val="24"/>
                <w:lang w:val="en-US" w:eastAsia="zh-CN"/>
              </w:rPr>
              <w:t>条件</w:t>
            </w:r>
            <w:r>
              <w:rPr>
                <w:rFonts w:hint="eastAsia" w:ascii="仿宋" w:hAnsi="仿宋" w:eastAsia="仿宋" w:cs="仿宋"/>
                <w:b w:val="0"/>
                <w:bCs w:val="0"/>
                <w:sz w:val="24"/>
              </w:rPr>
              <w:t>耦合智能预警技术：形成机理与数据双驱动的 MCFLR 预警模型，多物理场耦合作用显式编码为 13 维特征，建立"蓝—黄—橙—红"四级预警指标与阈值体系，支持多参数在线配置与真实数据回流持续自学习。</w:t>
            </w:r>
          </w:p>
          <w:p>
            <w:pPr>
              <w:spacing w:line="360" w:lineRule="auto" w:before="0" w:after="0"/>
              <w:ind w:firstLine="480"/>
            </w:pPr>
            <w:r>
              <w:rPr>
                <w:rFonts w:ascii="仿宋" w:hAnsi="仿宋" w:eastAsia="仿宋" w:cs="仿宋" w:hint="eastAsia"/>
                <w:sz w:val="24"/>
                <w:szCs w:val="24"/>
              </w:rPr>
              <w:t>式（12）四级预警分段判据</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 &lt; p₁ → 蓝色（正常）</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p₁ ≤ p &lt; p₂ → 黄色</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p₂ ≤ p &lt; p₃ → 橙色</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 ≥ p₃ → 红色</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建议初值：p₁ = 0.55, p₂ = 0.70（工作点）, p₃ = 0.85</w:t>
            </w:r>
            <w:r>
              <w:rPr>
                <w:rFonts w:ascii="仿宋" w:hAnsi="仿宋" w:eastAsia="仿宋" w:cs="仿宋" w:hint="eastAsia"/>
                <w:sz w:val="24"/>
                <w:szCs w:val="24"/>
              </w:rPr>
              <w:tab/>
            </w:r>
            <w:r>
              <w:rPr>
                <w:rFonts w:ascii="仿宋" w:hAnsi="仿宋" w:eastAsia="仿宋" w:cs="仿宋" w:hint="eastAsia"/>
                <w:sz w:val="24"/>
                <w:szCs w:val="24"/>
              </w:rPr>
              <w:t>（12）</w:t>
            </w:r>
          </w:p>
          <w:p>
            <w:pPr>
              <w:spacing w:line="360" w:lineRule="auto" w:before="0" w:after="0"/>
              <w:ind w:firstLine="480"/>
            </w:pPr>
            <w:r>
              <w:rPr>
                <w:rFonts w:ascii="仿宋" w:hAnsi="仿宋" w:eastAsia="仿宋" w:cs="仿宋" w:hint="eastAsia"/>
                <w:sz w:val="24"/>
                <w:szCs w:val="24"/>
              </w:rPr>
              <w:t>说明：把工作点 0.70 落在橙色起点，与正文"阈值工作点当前取 0.70"自洽。</w:t>
            </w:r>
          </w:p>
          <w:p w14:paraId="71C14401">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2）矿道数字孪生</w:t>
            </w:r>
            <w:r>
              <w:rPr>
                <w:rFonts w:hint="eastAsia" w:ascii="仿宋" w:hAnsi="仿宋" w:eastAsia="仿宋" w:cs="仿宋"/>
                <w:b w:val="0"/>
                <w:bCs w:val="0"/>
                <w:sz w:val="24"/>
              </w:rPr>
              <w:t>建模</w:t>
            </w:r>
            <w:r>
              <w:rPr>
                <w:rFonts w:hint="eastAsia" w:ascii="仿宋" w:hAnsi="仿宋" w:eastAsia="仿宋" w:cs="仿宋"/>
                <w:b w:val="0"/>
                <w:bCs w:val="0"/>
                <w:sz w:val="24"/>
                <w:lang w:val="en-US" w:eastAsia="zh-CN"/>
              </w:rPr>
              <w:t>情景展示</w:t>
            </w:r>
            <w:r>
              <w:rPr>
                <w:rFonts w:hint="eastAsia" w:ascii="仿宋" w:hAnsi="仿宋" w:eastAsia="仿宋" w:cs="仿宋"/>
                <w:b w:val="0"/>
                <w:bCs w:val="0"/>
                <w:sz w:val="24"/>
              </w:rPr>
              <w:t>：形成断层、溶洞、含水层等</w:t>
            </w:r>
            <w:r>
              <w:rPr>
                <w:rFonts w:hint="eastAsia" w:ascii="仿宋" w:hAnsi="仿宋" w:eastAsia="仿宋" w:cs="仿宋"/>
                <w:b w:val="0"/>
                <w:bCs w:val="0"/>
                <w:sz w:val="24"/>
                <w:lang w:val="en-US" w:eastAsia="zh-CN"/>
              </w:rPr>
              <w:t>多种特殊</w:t>
            </w:r>
            <w:r>
              <w:rPr>
                <w:rFonts w:hint="eastAsia" w:ascii="仿宋" w:hAnsi="仿宋" w:eastAsia="仿宋" w:cs="仿宋"/>
                <w:b w:val="0"/>
                <w:bCs w:val="0"/>
                <w:sz w:val="24"/>
              </w:rPr>
              <w:t>地质构造</w:t>
            </w:r>
            <w:r>
              <w:rPr>
                <w:rFonts w:hint="eastAsia" w:ascii="仿宋" w:hAnsi="仿宋" w:eastAsia="仿宋" w:cs="仿宋"/>
                <w:b w:val="0"/>
                <w:bCs w:val="0"/>
                <w:sz w:val="24"/>
                <w:lang w:val="en-US" w:eastAsia="zh-CN"/>
              </w:rPr>
              <w:t>下矿道</w:t>
            </w:r>
            <w:r>
              <w:rPr>
                <w:rFonts w:hint="eastAsia" w:ascii="仿宋" w:hAnsi="仿宋" w:eastAsia="仿宋" w:cs="仿宋"/>
                <w:b w:val="0"/>
                <w:bCs w:val="0"/>
                <w:sz w:val="24"/>
              </w:rPr>
              <w:t>的数字孪生建模与灾变演化</w:t>
            </w:r>
            <w:r>
              <w:rPr>
                <w:rFonts w:hint="eastAsia" w:ascii="仿宋" w:hAnsi="仿宋" w:eastAsia="仿宋" w:cs="仿宋"/>
                <w:b w:val="0"/>
                <w:bCs w:val="0"/>
                <w:sz w:val="24"/>
                <w:lang w:val="en-US" w:eastAsia="zh-CN"/>
              </w:rPr>
              <w:t>推测和演示的</w:t>
            </w:r>
            <w:r>
              <w:rPr>
                <w:rFonts w:hint="eastAsia" w:ascii="仿宋" w:hAnsi="仿宋" w:eastAsia="仿宋" w:cs="仿宋"/>
                <w:b w:val="0"/>
                <w:bCs w:val="0"/>
                <w:sz w:val="24"/>
              </w:rPr>
              <w:t>方法，预警结果可回答"风险来自哪条构造、哪层含水层"。</w:t>
            </w:r>
          </w:p>
          <w:p w14:paraId="26F51CB6">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规范多</w:t>
            </w:r>
            <w:r>
              <w:rPr>
                <w:rFonts w:hint="eastAsia" w:ascii="仿宋" w:hAnsi="仿宋" w:eastAsia="仿宋" w:cs="仿宋"/>
                <w:b w:val="0"/>
                <w:bCs w:val="0"/>
                <w:sz w:val="24"/>
                <w:lang w:val="en-US" w:eastAsia="zh-CN"/>
              </w:rPr>
              <w:t>端</w:t>
            </w:r>
            <w:r>
              <w:rPr>
                <w:rFonts w:hint="eastAsia" w:ascii="仿宋" w:hAnsi="仿宋" w:eastAsia="仿宋" w:cs="仿宋"/>
                <w:b w:val="0"/>
                <w:bCs w:val="0"/>
                <w:sz w:val="24"/>
              </w:rPr>
              <w:t>数据标准接口</w:t>
            </w:r>
            <w:r>
              <w:rPr>
                <w:rFonts w:hint="eastAsia" w:ascii="仿宋" w:hAnsi="仿宋" w:eastAsia="仿宋" w:cs="仿宋"/>
                <w:b w:val="0"/>
                <w:bCs w:val="0"/>
                <w:sz w:val="24"/>
                <w:lang w:val="en-US" w:eastAsia="zh-CN"/>
              </w:rPr>
              <w:t>情况</w:t>
            </w:r>
            <w:r>
              <w:rPr>
                <w:rFonts w:hint="eastAsia" w:ascii="仿宋" w:hAnsi="仿宋" w:eastAsia="仿宋" w:cs="仿宋"/>
                <w:b w:val="0"/>
                <w:bCs w:val="0"/>
                <w:sz w:val="24"/>
              </w:rPr>
              <w:t>：形成面向顶板灾变预警MQTT/REST /WebSocket统一接入标准与传感器选型、布设、LoRa 组网方案，建成不少于 3000 条、含难负样本且训练流程可复现的顶板多参量监测标注数据集，为打通煤矿各类监测系统"信息孤岛"提供可直接采用的规范与数据基础。</w:t>
            </w:r>
          </w:p>
          <w:p w14:paraId="54FA1FE0">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4）</w:t>
            </w:r>
            <w:r>
              <w:rPr>
                <w:rFonts w:hint="eastAsia" w:ascii="仿宋" w:hAnsi="仿宋" w:eastAsia="仿宋" w:cs="仿宋"/>
                <w:b w:val="0"/>
                <w:bCs w:val="0"/>
                <w:sz w:val="24"/>
              </w:rPr>
              <w:t>三端互联</w:t>
            </w:r>
            <w:r>
              <w:rPr>
                <w:rFonts w:hint="eastAsia" w:ascii="仿宋" w:hAnsi="仿宋" w:eastAsia="仿宋" w:cs="仿宋"/>
                <w:b w:val="0"/>
                <w:bCs w:val="0"/>
                <w:sz w:val="24"/>
                <w:lang w:val="en-US" w:eastAsia="zh-CN"/>
              </w:rPr>
              <w:t>构建</w:t>
            </w:r>
            <w:r>
              <w:rPr>
                <w:rFonts w:hint="eastAsia" w:ascii="仿宋" w:hAnsi="仿宋" w:eastAsia="仿宋" w:cs="仿宋"/>
                <w:b w:val="0"/>
                <w:bCs w:val="0"/>
                <w:sz w:val="24"/>
              </w:rPr>
              <w:t>完整系统：交付顶板多参量监测终端样机与"底芯星巡"平台V1 .0，实现"硬件感知—软件计算—VR/大屏交互"全栈贯通，核心算法自研、代码自主可控。</w:t>
            </w:r>
          </w:p>
          <w:p w14:paraId="30EB80A7">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.2. 应用成果</w:t>
            </w:r>
          </w:p>
          <w:p w14:paraId="382D1E5F">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w:t>
            </w:r>
            <w:r>
              <w:rPr>
                <w:rFonts w:hint="eastAsia" w:ascii="仿宋" w:hAnsi="仿宋" w:eastAsia="仿宋" w:cs="仿宋"/>
                <w:b w:val="0"/>
                <w:bCs w:val="0"/>
                <w:sz w:val="24"/>
              </w:rPr>
              <w:t>煤矿安全</w:t>
            </w:r>
            <w:r>
              <w:rPr>
                <w:rFonts w:hint="eastAsia" w:ascii="仿宋" w:hAnsi="仿宋" w:eastAsia="仿宋" w:cs="仿宋"/>
                <w:b w:val="0"/>
                <w:bCs w:val="0"/>
                <w:sz w:val="24"/>
                <w:lang w:val="en-US" w:eastAsia="zh-CN"/>
              </w:rPr>
              <w:t>开采保障</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构建实时监测、协同管理的</w:t>
            </w:r>
            <w:r>
              <w:rPr>
                <w:rFonts w:hint="eastAsia" w:ascii="仿宋" w:hAnsi="仿宋" w:eastAsia="仿宋" w:cs="仿宋"/>
                <w:b w:val="0"/>
                <w:bCs w:val="0"/>
                <w:sz w:val="24"/>
              </w:rPr>
              <w:t>一体化方案，直接服务矿区煤矿顶板安全管理，支撑预警准确率提升与应急响应时间缩短，减少顶板事故与非计划停产损失。</w:t>
            </w:r>
          </w:p>
          <w:p w14:paraId="4B9C3419">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2）矿产</w:t>
            </w:r>
            <w:r>
              <w:rPr>
                <w:rFonts w:hint="eastAsia" w:ascii="仿宋" w:hAnsi="仿宋" w:eastAsia="仿宋" w:cs="仿宋"/>
                <w:b w:val="0"/>
                <w:bCs w:val="0"/>
                <w:sz w:val="24"/>
              </w:rPr>
              <w:t>行业</w:t>
            </w:r>
            <w:r>
              <w:rPr>
                <w:rFonts w:hint="eastAsia" w:ascii="仿宋" w:hAnsi="仿宋" w:eastAsia="仿宋" w:cs="仿宋"/>
                <w:b w:val="0"/>
                <w:bCs w:val="0"/>
                <w:sz w:val="24"/>
                <w:lang w:val="en-US" w:eastAsia="zh-CN"/>
              </w:rPr>
              <w:t>综合</w:t>
            </w:r>
            <w:r>
              <w:rPr>
                <w:rFonts w:hint="eastAsia" w:ascii="仿宋" w:hAnsi="仿宋" w:eastAsia="仿宋" w:cs="仿宋"/>
                <w:b w:val="0"/>
                <w:bCs w:val="0"/>
                <w:sz w:val="24"/>
              </w:rPr>
              <w:t>价值</w:t>
            </w:r>
            <w:r>
              <w:rPr>
                <w:rFonts w:hint="eastAsia" w:ascii="仿宋" w:hAnsi="仿宋" w:eastAsia="仿宋" w:cs="仿宋"/>
                <w:b w:val="0"/>
                <w:bCs w:val="0"/>
                <w:sz w:val="24"/>
                <w:lang w:val="en-US" w:eastAsia="zh-CN"/>
              </w:rPr>
              <w:t>高</w:t>
            </w:r>
            <w:r>
              <w:rPr>
                <w:rFonts w:hint="eastAsia" w:ascii="仿宋" w:hAnsi="仿宋" w:eastAsia="仿宋" w:cs="仿宋"/>
                <w:b w:val="0"/>
                <w:bCs w:val="0"/>
                <w:sz w:val="24"/>
              </w:rPr>
              <w:t>：技术原理与平台架构经适配后可推广至金属矿、隧道工程等地下工程领域，输出试点部署方案、成本估算与推广适配路径。</w:t>
            </w:r>
          </w:p>
          <w:p w14:paraId="36519D78">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国产化自主可控：全系统基于开源技术栈与鸿蒙 ArkTS 构建，完成统信 UOS/Deepin 环境适配，实现零许可成本、离线可部署与工业数据本地存储自主可控。</w:t>
            </w:r>
          </w:p>
          <w:p w14:paraId="281B42D3">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.3. 功能成果</w:t>
            </w:r>
          </w:p>
          <w:p w14:paraId="7BB2D6EA">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1）多维综合监测</w:t>
            </w:r>
            <w:r>
              <w:rPr>
                <w:rFonts w:hint="eastAsia" w:ascii="仿宋" w:hAnsi="仿宋" w:eastAsia="仿宋" w:cs="仿宋"/>
                <w:b w:val="0"/>
                <w:bCs w:val="0"/>
                <w:sz w:val="24"/>
              </w:rPr>
              <w:t>功能</w:t>
            </w:r>
            <w:r>
              <w:rPr>
                <w:rFonts w:hint="eastAsia" w:ascii="仿宋" w:hAnsi="仿宋" w:eastAsia="仿宋" w:cs="仿宋"/>
                <w:b w:val="0"/>
                <w:bCs w:val="0"/>
                <w:sz w:val="24"/>
                <w:lang w:val="en-US" w:eastAsia="zh-CN"/>
              </w:rPr>
              <w:t>实现</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通过</w:t>
            </w:r>
            <w:r>
              <w:rPr>
                <w:rFonts w:hint="eastAsia" w:ascii="仿宋" w:hAnsi="仿宋" w:eastAsia="仿宋" w:cs="仿宋"/>
                <w:b w:val="0"/>
                <w:bCs w:val="0"/>
                <w:sz w:val="24"/>
              </w:rPr>
              <w:t>支架阻力、顶板位移、锚杆载荷、岩溶水压与环境量五类参量自动采集与 LoRa 组网上行，覆盖工作面、巷道、岩溶区、风流断面四组 11 个以上监测点位；支持阈值下行热更新与就地 OLED/声光告警。</w:t>
            </w:r>
          </w:p>
          <w:p w14:paraId="50AD02E5">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2）精确</w:t>
            </w:r>
            <w:r>
              <w:rPr>
                <w:rFonts w:hint="eastAsia" w:ascii="仿宋" w:hAnsi="仿宋" w:eastAsia="仿宋" w:cs="仿宋"/>
                <w:b w:val="0"/>
                <w:bCs w:val="0"/>
                <w:sz w:val="24"/>
              </w:rPr>
              <w:t>预警管控</w:t>
            </w:r>
            <w:r>
              <w:rPr>
                <w:rFonts w:hint="eastAsia" w:ascii="仿宋" w:hAnsi="仿宋" w:eastAsia="仿宋" w:cs="仿宋"/>
                <w:b w:val="0"/>
                <w:bCs w:val="0"/>
                <w:sz w:val="24"/>
                <w:lang w:val="en-US" w:eastAsia="zh-CN"/>
              </w:rPr>
              <w:t>反馈</w:t>
            </w:r>
            <w:r>
              <w:rPr>
                <w:rFonts w:hint="eastAsia" w:ascii="仿宋" w:hAnsi="仿宋" w:eastAsia="仿宋" w:cs="仿宋"/>
                <w:b w:val="0"/>
                <w:bCs w:val="0"/>
                <w:sz w:val="24"/>
              </w:rPr>
              <w:t>功能：</w:t>
            </w:r>
            <w:r>
              <w:rPr>
                <w:rFonts w:hint="eastAsia" w:ascii="仿宋" w:hAnsi="仿宋" w:eastAsia="仿宋" w:cs="仿宋"/>
                <w:b w:val="0"/>
                <w:bCs w:val="0"/>
                <w:sz w:val="24"/>
                <w:lang w:val="en-US" w:eastAsia="zh-CN"/>
              </w:rPr>
              <w:t>通过双端</w:t>
            </w:r>
            <w:r>
              <w:rPr>
                <w:rFonts w:hint="eastAsia" w:ascii="仿宋" w:hAnsi="仿宋" w:eastAsia="仿宋" w:cs="仿宋"/>
                <w:b w:val="0"/>
                <w:bCs w:val="0"/>
                <w:sz w:val="24"/>
              </w:rPr>
              <w:t>数据接入治理、灾变概率计算、分级预警、预警升级督办、分析报表与审计留痕，形成</w:t>
            </w:r>
            <w:r>
              <w:rPr>
                <w:rFonts w:hint="eastAsia" w:ascii="仿宋" w:hAnsi="仿宋" w:eastAsia="仿宋" w:cs="仿宋"/>
                <w:b w:val="0"/>
                <w:bCs w:val="0"/>
                <w:sz w:val="24"/>
                <w:lang w:val="en-US" w:eastAsia="zh-CN"/>
              </w:rPr>
              <w:t>了精确完整的</w:t>
            </w:r>
            <w:r>
              <w:rPr>
                <w:rFonts w:hint="eastAsia" w:ascii="仿宋" w:hAnsi="仿宋" w:eastAsia="仿宋" w:cs="仿宋"/>
                <w:b w:val="0"/>
                <w:bCs w:val="0"/>
                <w:sz w:val="24"/>
              </w:rPr>
              <w:t>业务闭环。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【图7 占位框】</w:t>
                  </w:r>
                </w:p>
                <w:p>
                  <w:pPr>
                    <w:jc w:val="center"/>
                  </w:pPr>
                  <w:r>
                    <w:rPr>
                      <w:rFonts w:ascii="仿宋" w:hAnsi="仿宋" w:eastAsia="仿宋"/>
                      <w:b w:val="0"/>
                      <w:color w:val="A0A0A0"/>
                      <w:sz w:val="21"/>
                    </w:rPr>
                    <w:t>建议尺寸：宽 13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图7  分级预警与处置状态机图</w:t>
            </w:r>
          </w:p>
          <w:p>
            <w:pPr>
              <w:spacing w:line="360" w:lineRule="auto" w:before="0" w:after="0"/>
              <w:jc w:val="center"/>
            </w:pPr>
            <w:r>
              <w:rPr>
                <w:rFonts w:ascii="仿宋" w:hAnsi="仿宋" w:eastAsia="仿宋" w:cs="仿宋" w:hint="eastAsia"/>
                <w:sz w:val="24"/>
                <w:szCs w:val="24"/>
              </w:rPr>
              <w:t>预警升级状态机贯通企业端值守、智库端评审、监管端督办三类业务动作。</w:t>
            </w:r>
          </w:p>
          <w:p w14:paraId="5B7D9C76">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3）数字</w:t>
            </w:r>
            <w:r>
              <w:rPr>
                <w:rFonts w:hint="eastAsia" w:ascii="仿宋" w:hAnsi="仿宋" w:eastAsia="仿宋" w:cs="仿宋"/>
                <w:b w:val="0"/>
                <w:bCs w:val="0"/>
                <w:sz w:val="24"/>
              </w:rPr>
              <w:t>孪生可视化功能：提供综合态势大屏与六图层透明感知场景、应力图、WebGL 三维巷道、灾变时间轴回放与应急方案推演交互，支持 VR 端双向沉浸操作，大屏、Web、鸿蒙、VR 多端一致呈现。</w:t>
            </w:r>
          </w:p>
          <w:p>
            <w:pPr>
              <w:spacing w:line="360" w:lineRule="auto" w:before="0" w:after="0"/>
              <w:jc w:val="center"/>
            </w:pPr>
            <w:r>
              <w:rPr>
                <w:rFonts w:ascii="仿宋" w:hAnsi="仿宋" w:eastAsia="仿宋" w:cs="仿宋" w:hint="eastAsia"/>
                <w:b/>
                <w:bCs/>
                <w:sz w:val="24"/>
                <w:szCs w:val="24"/>
              </w:rPr>
              <w:t>表3  核心模块功能与技术支撑</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124"/>
              <w:gridCol w:w="2124"/>
              <w:gridCol w:w="2124"/>
              <w:gridCol w:w="2124"/>
            </w:tblGrid>
            <w:tr>
              <w:tc>
                <w:tcPr>
                  <w:tcW w:type="dxa" w:w="2124"/>
                </w:tcPr>
                <w:p>
                  <w:pPr>
                    <w:spacing w:line="240" w:lineRule="auto"/>
                  </w:pPr>
                  <w:r>
                    <w:rPr>
                      <w:rFonts w:ascii="仿宋" w:hAnsi="仿宋" w:eastAsia="仿宋" w:cs="仿宋" w:hint="eastAsia"/>
                      <w:b/>
                      <w:bCs/>
                      <w:sz w:val="24"/>
                      <w:szCs w:val="24"/>
                    </w:rPr>
                    <w:t>模块</w:t>
                  </w:r>
                </w:p>
              </w:tc>
              <w:tc>
                <w:tcPr>
                  <w:tcW w:type="dxa" w:w="2124"/>
                </w:tcPr>
                <w:p>
                  <w:pPr>
                    <w:spacing w:line="240" w:lineRule="auto"/>
                  </w:pPr>
                  <w:r>
                    <w:rPr>
                      <w:rFonts w:ascii="仿宋" w:hAnsi="仿宋" w:eastAsia="仿宋" w:cs="仿宋" w:hint="eastAsia"/>
                      <w:b/>
                      <w:bCs/>
                      <w:sz w:val="24"/>
                      <w:szCs w:val="24"/>
                    </w:rPr>
                    <w:t>功能</w:t>
                  </w:r>
                </w:p>
              </w:tc>
              <w:tc>
                <w:tcPr>
                  <w:tcW w:type="dxa" w:w="2124"/>
                </w:tcPr>
                <w:p>
                  <w:pPr>
                    <w:spacing w:line="240" w:lineRule="auto"/>
                  </w:pPr>
                  <w:r>
                    <w:rPr>
                      <w:rFonts w:ascii="仿宋" w:hAnsi="仿宋" w:eastAsia="仿宋" w:cs="仿宋" w:hint="eastAsia"/>
                      <w:b/>
                      <w:bCs/>
                      <w:sz w:val="24"/>
                      <w:szCs w:val="24"/>
                    </w:rPr>
                    <w:t>技术支撑</w:t>
                  </w:r>
                </w:p>
              </w:tc>
              <w:tc>
                <w:tcPr>
                  <w:tcW w:type="dxa" w:w="2124"/>
                </w:tcPr>
                <w:p>
                  <w:pPr>
                    <w:spacing w:line="240" w:lineRule="auto"/>
                  </w:pPr>
                  <w:r>
                    <w:rPr>
                      <w:rFonts w:ascii="仿宋" w:hAnsi="仿宋" w:eastAsia="仿宋" w:cs="仿宋" w:hint="eastAsia"/>
                      <w:b/>
                      <w:bCs/>
                      <w:sz w:val="24"/>
                      <w:szCs w:val="24"/>
                    </w:rPr>
                    <w:t>对应成果</w:t>
                  </w:r>
                </w:p>
              </w:tc>
            </w:tr>
            <w:tr>
              <w:tc>
                <w:tcPr>
                  <w:tcW w:type="dxa" w:w="2124"/>
                </w:tcPr>
                <w:p>
                  <w:pPr>
                    <w:spacing w:line="240" w:lineRule="auto"/>
                  </w:pPr>
                  <w:r>
                    <w:rPr>
                      <w:rFonts w:ascii="仿宋" w:hAnsi="仿宋" w:eastAsia="仿宋" w:cs="仿宋" w:hint="eastAsia"/>
                      <w:b/>
                      <w:bCs/>
                      <w:sz w:val="24"/>
                      <w:szCs w:val="24"/>
                    </w:rPr>
                    <w:t>全域感知模块</w:t>
                  </w:r>
                </w:p>
              </w:tc>
              <w:tc>
                <w:tcPr>
                  <w:tcW w:type="dxa" w:w="2124"/>
                </w:tcPr>
                <w:p>
                  <w:pPr>
                    <w:spacing w:line="240" w:lineRule="auto"/>
                  </w:pPr>
                  <w:r>
                    <w:rPr>
                      <w:rFonts w:ascii="仿宋" w:hAnsi="仿宋" w:eastAsia="仿宋" w:cs="仿宋" w:hint="eastAsia"/>
                      <w:b/>
                      <w:bCs/>
                      <w:sz w:val="24"/>
                      <w:szCs w:val="24"/>
                    </w:rPr>
                    <w:t>五类参量采集与 LoRa 回传</w:t>
                  </w:r>
                </w:p>
              </w:tc>
              <w:tc>
                <w:tcPr>
                  <w:tcW w:type="dxa" w:w="2124"/>
                </w:tcPr>
                <w:p>
                  <w:pPr>
                    <w:spacing w:line="240" w:lineRule="auto"/>
                  </w:pPr>
                  <w:r>
                    <w:rPr>
                      <w:rFonts w:ascii="仿宋" w:hAnsi="仿宋" w:eastAsia="仿宋" w:cs="仿宋" w:hint="eastAsia"/>
                      <w:b/>
                      <w:bCs/>
                      <w:sz w:val="24"/>
                      <w:szCs w:val="24"/>
                    </w:rPr>
                    <w:t>STM32 七路采集、实物标定系数表、LoRa Mesh</w:t>
                  </w:r>
                </w:p>
              </w:tc>
              <w:tc>
                <w:tcPr>
                  <w:tcW w:type="dxa" w:w="2124"/>
                </w:tcPr>
                <w:p>
                  <w:pPr>
                    <w:spacing w:line="240" w:lineRule="auto"/>
                  </w:pPr>
                  <w:r>
                    <w:rPr>
                      <w:rFonts w:ascii="仿宋" w:hAnsi="仿宋" w:eastAsia="仿宋" w:cs="仿宋" w:hint="eastAsia"/>
                      <w:b/>
                      <w:bCs/>
                      <w:sz w:val="24"/>
                      <w:szCs w:val="24"/>
                    </w:rPr>
                    <w:t>3.3（1）</w:t>
                  </w:r>
                </w:p>
              </w:tc>
            </w:tr>
            <w:tr>
              <w:tc>
                <w:tcPr>
                  <w:tcW w:type="dxa" w:w="2124"/>
                </w:tcPr>
                <w:p>
                  <w:pPr>
                    <w:spacing w:line="240" w:lineRule="auto"/>
                  </w:pPr>
                  <w:r>
                    <w:rPr>
                      <w:rFonts w:ascii="仿宋" w:hAnsi="仿宋" w:eastAsia="仿宋" w:cs="仿宋" w:hint="eastAsia"/>
                      <w:b/>
                      <w:bCs/>
                      <w:sz w:val="24"/>
                      <w:szCs w:val="24"/>
                    </w:rPr>
                    <w:t>预警计算模块</w:t>
                  </w:r>
                </w:p>
              </w:tc>
              <w:tc>
                <w:tcPr>
                  <w:tcW w:type="dxa" w:w="2124"/>
                </w:tcPr>
                <w:p>
                  <w:pPr>
                    <w:spacing w:line="240" w:lineRule="auto"/>
                  </w:pPr>
                  <w:r>
                    <w:rPr>
                      <w:rFonts w:ascii="仿宋" w:hAnsi="仿宋" w:eastAsia="仿宋" w:cs="仿宋" w:hint="eastAsia"/>
                      <w:b/>
                      <w:bCs/>
                      <w:sz w:val="24"/>
                      <w:szCs w:val="24"/>
                    </w:rPr>
                    <w:t>灾变概率计算与四级分级</w:t>
                  </w:r>
                </w:p>
              </w:tc>
              <w:tc>
                <w:tcPr>
                  <w:tcW w:type="dxa" w:w="2124"/>
                </w:tcPr>
                <w:p>
                  <w:pPr>
                    <w:spacing w:line="240" w:lineRule="auto"/>
                  </w:pPr>
                  <w:r>
                    <w:rPr>
                      <w:rFonts w:ascii="仿宋" w:hAnsi="仿宋" w:eastAsia="仿宋" w:cs="仿宋" w:hint="eastAsia"/>
                      <w:b/>
                      <w:bCs/>
                      <w:sz w:val="24"/>
                      <w:szCs w:val="24"/>
                    </w:rPr>
                    <w:t>13 维特征、MCFLR、L2 正则、自动重训</w:t>
                  </w:r>
                </w:p>
              </w:tc>
              <w:tc>
                <w:tcPr>
                  <w:tcW w:type="dxa" w:w="2124"/>
                </w:tcPr>
                <w:p>
                  <w:pPr>
                    <w:spacing w:line="240" w:lineRule="auto"/>
                  </w:pPr>
                  <w:r>
                    <w:rPr>
                      <w:rFonts w:ascii="仿宋" w:hAnsi="仿宋" w:eastAsia="仿宋" w:cs="仿宋" w:hint="eastAsia"/>
                      <w:b/>
                      <w:bCs/>
                      <w:sz w:val="24"/>
                      <w:szCs w:val="24"/>
                    </w:rPr>
                    <w:t>3.1（1）</w:t>
                  </w:r>
                </w:p>
              </w:tc>
            </w:tr>
            <w:tr>
              <w:tc>
                <w:tcPr>
                  <w:tcW w:type="dxa" w:w="2124"/>
                </w:tcPr>
                <w:p>
                  <w:pPr>
                    <w:spacing w:line="240" w:lineRule="auto"/>
                  </w:pPr>
                  <w:r>
                    <w:rPr>
                      <w:rFonts w:ascii="仿宋" w:hAnsi="仿宋" w:eastAsia="仿宋" w:cs="仿宋" w:hint="eastAsia"/>
                      <w:b/>
                      <w:bCs/>
                      <w:sz w:val="24"/>
                      <w:szCs w:val="24"/>
                    </w:rPr>
                    <w:t>管控业务模块</w:t>
                  </w:r>
                </w:p>
              </w:tc>
              <w:tc>
                <w:tcPr>
                  <w:tcW w:type="dxa" w:w="2124"/>
                </w:tcPr>
                <w:p>
                  <w:pPr>
                    <w:spacing w:line="240" w:lineRule="auto"/>
                  </w:pPr>
                  <w:r>
                    <w:rPr>
                      <w:rFonts w:ascii="仿宋" w:hAnsi="仿宋" w:eastAsia="仿宋" w:cs="仿宋" w:hint="eastAsia"/>
                      <w:b/>
                      <w:bCs/>
                      <w:sz w:val="24"/>
                      <w:szCs w:val="24"/>
                    </w:rPr>
                    <w:t>预警升级督办与三端协同</w:t>
                  </w:r>
                </w:p>
              </w:tc>
              <w:tc>
                <w:tcPr>
                  <w:tcW w:type="dxa" w:w="2124"/>
                </w:tcPr>
                <w:p>
                  <w:pPr>
                    <w:spacing w:line="240" w:lineRule="auto"/>
                  </w:pPr>
                  <w:r>
                    <w:rPr>
                      <w:rFonts w:ascii="仿宋" w:hAnsi="仿宋" w:eastAsia="仿宋" w:cs="仿宋" w:hint="eastAsia"/>
                      <w:b/>
                      <w:bCs/>
                      <w:sz w:val="24"/>
                      <w:szCs w:val="24"/>
                    </w:rPr>
                    <w:t>RBAC、限流、审计留痕、分析报表</w:t>
                  </w:r>
                </w:p>
              </w:tc>
              <w:tc>
                <w:tcPr>
                  <w:tcW w:type="dxa" w:w="2124"/>
                </w:tcPr>
                <w:p>
                  <w:pPr>
                    <w:spacing w:line="240" w:lineRule="auto"/>
                  </w:pPr>
                  <w:r>
                    <w:rPr>
                      <w:rFonts w:ascii="仿宋" w:hAnsi="仿宋" w:eastAsia="仿宋" w:cs="仿宋" w:hint="eastAsia"/>
                      <w:b/>
                      <w:bCs/>
                      <w:sz w:val="24"/>
                      <w:szCs w:val="24"/>
                    </w:rPr>
                    <w:t>3.3（2）</w:t>
                  </w:r>
                </w:p>
              </w:tc>
            </w:tr>
            <w:tr>
              <w:tc>
                <w:tcPr>
                  <w:tcW w:type="dxa" w:w="2124"/>
                </w:tcPr>
                <w:p>
                  <w:pPr>
                    <w:spacing w:line="240" w:lineRule="auto"/>
                  </w:pPr>
                  <w:r>
                    <w:rPr>
                      <w:rFonts w:ascii="仿宋" w:hAnsi="仿宋" w:eastAsia="仿宋" w:cs="仿宋" w:hint="eastAsia"/>
                      <w:b/>
                      <w:bCs/>
                      <w:sz w:val="24"/>
                      <w:szCs w:val="24"/>
                    </w:rPr>
                    <w:t>数字孪生模块</w:t>
                  </w:r>
                </w:p>
              </w:tc>
              <w:tc>
                <w:tcPr>
                  <w:tcW w:type="dxa" w:w="2124"/>
                </w:tcPr>
                <w:p>
                  <w:pPr>
                    <w:spacing w:line="240" w:lineRule="auto"/>
                  </w:pPr>
                  <w:r>
                    <w:rPr>
                      <w:rFonts w:ascii="仿宋" w:hAnsi="仿宋" w:eastAsia="仿宋" w:cs="仿宋" w:hint="eastAsia"/>
                      <w:b/>
                      <w:bCs/>
                      <w:sz w:val="24"/>
                      <w:szCs w:val="24"/>
                    </w:rPr>
                    <w:t>六图层云图与推演回放</w:t>
                  </w:r>
                </w:p>
              </w:tc>
              <w:tc>
                <w:tcPr>
                  <w:tcW w:type="dxa" w:w="2124"/>
                </w:tcPr>
                <w:p>
                  <w:pPr>
                    <w:spacing w:line="240" w:lineRule="auto"/>
                  </w:pPr>
                  <w:r>
                    <w:rPr>
                      <w:rFonts w:ascii="仿宋" w:hAnsi="仿宋" w:eastAsia="仿宋" w:cs="仿宋" w:hint="eastAsia"/>
                      <w:b/>
                      <w:bCs/>
                      <w:sz w:val="24"/>
                      <w:szCs w:val="24"/>
                    </w:rPr>
                    <w:t>SVG / WebGL、时间轴回放、链路拓扑动画</w:t>
                  </w:r>
                </w:p>
              </w:tc>
              <w:tc>
                <w:tcPr>
                  <w:tcW w:type="dxa" w:w="2124"/>
                </w:tcPr>
                <w:p>
                  <w:pPr>
                    <w:spacing w:line="240" w:lineRule="auto"/>
                  </w:pPr>
                  <w:r>
                    <w:rPr>
                      <w:rFonts w:ascii="仿宋" w:hAnsi="仿宋" w:eastAsia="仿宋" w:cs="仿宋" w:hint="eastAsia"/>
                      <w:b/>
                      <w:bCs/>
                      <w:sz w:val="24"/>
                      <w:szCs w:val="24"/>
                    </w:rPr>
                    <w:t>3.3（3）</w:t>
                  </w:r>
                </w:p>
              </w:tc>
            </w:tr>
            <w:tr>
              <w:tc>
                <w:tcPr>
                  <w:tcW w:type="dxa" w:w="2124"/>
                </w:tcPr>
                <w:p>
                  <w:pPr>
                    <w:spacing w:line="240" w:lineRule="auto"/>
                  </w:pPr>
                  <w:r>
                    <w:rPr>
                      <w:rFonts w:ascii="仿宋" w:hAnsi="仿宋" w:eastAsia="仿宋" w:cs="仿宋" w:hint="eastAsia"/>
                      <w:b/>
                      <w:bCs/>
                      <w:sz w:val="24"/>
                      <w:szCs w:val="24"/>
                    </w:rPr>
                    <w:t>接口与集成模块</w:t>
                  </w:r>
                </w:p>
              </w:tc>
              <w:tc>
                <w:tcPr>
                  <w:tcW w:type="dxa" w:w="2124"/>
                </w:tcPr>
                <w:p>
                  <w:pPr>
                    <w:spacing w:line="240" w:lineRule="auto"/>
                  </w:pPr>
                  <w:r>
                    <w:rPr>
                      <w:rFonts w:ascii="仿宋" w:hAnsi="仿宋" w:eastAsia="仿宋" w:cs="仿宋" w:hint="eastAsia"/>
                      <w:b/>
                      <w:bCs/>
                      <w:sz w:val="24"/>
                      <w:szCs w:val="24"/>
                    </w:rPr>
                    <w:t>MQTT / REST / WebSocket 统一接入</w:t>
                  </w:r>
                </w:p>
              </w:tc>
              <w:tc>
                <w:tcPr>
                  <w:tcW w:type="dxa" w:w="2124"/>
                </w:tcPr>
                <w:p>
                  <w:pPr>
                    <w:spacing w:line="240" w:lineRule="auto"/>
                  </w:pPr>
                  <w:r>
                    <w:rPr>
                      <w:rFonts w:ascii="仿宋" w:hAnsi="仿宋" w:eastAsia="仿宋" w:cs="仿宋" w:hint="eastAsia"/>
                      <w:b/>
                      <w:bCs/>
                      <w:sz w:val="24"/>
                      <w:szCs w:val="24"/>
                    </w:rPr>
                    <w:t>统一主题体系、报文契约、契约测试</w:t>
                  </w:r>
                </w:p>
              </w:tc>
              <w:tc>
                <w:tcPr>
                  <w:tcW w:type="dxa" w:w="2124"/>
                </w:tcPr>
                <w:p>
                  <w:pPr>
                    <w:spacing w:line="240" w:lineRule="auto"/>
                  </w:pPr>
                  <w:r>
                    <w:rPr>
                      <w:rFonts w:ascii="仿宋" w:hAnsi="仿宋" w:eastAsia="仿宋" w:cs="仿宋" w:hint="eastAsia"/>
                      <w:b/>
                      <w:bCs/>
                      <w:sz w:val="24"/>
                      <w:szCs w:val="24"/>
                    </w:rPr>
                    <w:t>3.1（3）</w:t>
                  </w:r>
                </w:p>
              </w:tc>
            </w:tr>
          </w:tbl>
          <w:p w14:paraId="68B04F2B">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.4. 性能成果</w:t>
            </w:r>
          </w:p>
          <w:p w14:paraId="3C85B61E">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w:t>
            </w:r>
            <w:r>
              <w:rPr>
                <w:rFonts w:hint="eastAsia" w:ascii="仿宋" w:hAnsi="仿宋" w:eastAsia="仿宋" w:cs="仿宋"/>
                <w:b w:val="0"/>
                <w:bCs w:val="0"/>
                <w:sz w:val="24"/>
              </w:rPr>
              <w:t>预警精度：测试集预警准确率 ≥85%（力争 95% 以上）、误报率 ≤15%（力争 5% 以内）、漏报召回率 ≥85%（力争 90% 以上），整体优于赛题"准确率 ≥85%、误报率 ≤15%"的量化要求。</w:t>
            </w:r>
          </w:p>
          <w:p>
            <w:pPr>
              <w:spacing w:line="360" w:lineRule="auto" w:before="0" w:after="0"/>
              <w:ind w:firstLine="480"/>
            </w:pPr>
            <w:r>
              <w:rPr>
                <w:rFonts w:ascii="仿宋" w:hAnsi="仿宋" w:eastAsia="仿宋" w:cs="仿宋" w:hint="eastAsia"/>
                <w:sz w:val="24"/>
                <w:szCs w:val="24"/>
              </w:rPr>
              <w:t>上述指标按式（13）定义，在固定测试集上评估，优于赛题"准确率 ≥85%、误报率 ≤15%"的量化要求。</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Acc = (TP + TN) / (TP + TN + FP + FN)</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FPR = FP / (FP + TN)</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Recall = TP / (TP + FN)</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Precision = TP / (TP + FP)</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F1 = 2 · Precision · Recall / (Precision + Recall)</w:t>
            </w:r>
            <w:r>
              <w:rPr>
                <w:rFonts w:ascii="仿宋" w:hAnsi="仿宋" w:eastAsia="仿宋" w:cs="仿宋" w:hint="eastAsia"/>
                <w:sz w:val="24"/>
                <w:szCs w:val="24"/>
              </w:rPr>
              <w:tab/>
            </w:r>
            <w:r>
              <w:rPr>
                <w:rFonts w:ascii="仿宋" w:hAnsi="仿宋" w:eastAsia="仿宋" w:cs="仿宋" w:hint="eastAsia"/>
                <w:sz w:val="24"/>
                <w:szCs w:val="24"/>
              </w:rPr>
              <w:t>（13）</w:t>
            </w:r>
          </w:p>
          <w:p>
            <w:pPr>
              <w:spacing w:line="360" w:lineRule="auto" w:before="0" w:after="0"/>
              <w:ind w:firstLine="480"/>
            </w:pPr>
            <w:r>
              <w:rPr>
                <w:rFonts w:ascii="仿宋" w:hAnsi="仿宋" w:eastAsia="仿宋" w:cs="仿宋" w:hint="eastAsia"/>
                <w:sz w:val="24"/>
                <w:szCs w:val="24"/>
              </w:rPr>
              <w:t>目标：Acc ≥ 85%、FPR ≤ 15%、Recall ≥ 85%。</w:t>
            </w:r>
          </w:p>
          <w:p w14:paraId="719FC8CE">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w:t>
            </w:r>
            <w:r>
              <w:rPr>
                <w:rFonts w:hint="eastAsia" w:ascii="仿宋" w:hAnsi="仿宋" w:eastAsia="仿宋" w:cs="仿宋"/>
                <w:b w:val="0"/>
                <w:bCs w:val="0"/>
                <w:sz w:val="24"/>
              </w:rPr>
              <w:t>实时性：预警端到端响应 ≤5 秒，接口响应时间 &lt;500ms，WebSocket 实时广播延迟 &lt;1 秒，阈值下发现场热生效 ≤10 秒。</w:t>
            </w:r>
          </w:p>
          <w:p>
            <w:pPr>
              <w:spacing w:line="360" w:lineRule="auto" w:before="0" w:after="0"/>
              <w:ind w:firstLine="480"/>
            </w:pPr>
            <w:r>
              <w:rPr>
                <w:rFonts w:ascii="仿宋" w:hAnsi="仿宋" w:eastAsia="仿宋" w:cs="仿宋" w:hint="eastAsia"/>
                <w:sz w:val="24"/>
                <w:szCs w:val="24"/>
              </w:rPr>
              <w:t>式（14）端到端时延分解</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T_total = t_采集 + t_总线 + t_LoRa + t_网关 + t_上行 + t_解析入库 + t_特征 + t_推理 + t_广播 + t_渲染 ≤ 5 s</w:t>
            </w:r>
          </w:p>
          <w:p>
            <w:pPr>
              <w:tabs>
                <w:tab w:pos="4250" w:val="center"/>
                <w:tab w:pos="8499" w:val="right"/>
              </w:tabs>
              <w:spacing w:line="360" w:lineRule="auto" w:before="0" w:after="0"/>
            </w:pPr>
            <w:r>
              <w:rPr>
                <w:rFonts w:ascii="仿宋" w:hAnsi="仿宋" w:eastAsia="仿宋" w:cs="仿宋" w:hint="eastAsia"/>
                <w:sz w:val="24"/>
                <w:szCs w:val="24"/>
              </w:rPr>
              <w:tab/>
            </w:r>
            <w:r>
              <w:rPr>
                <w:rFonts w:ascii="Cambria Math" w:hAnsi="Cambria Math" w:eastAsia="Cambria Math" w:cs="Cambria Math" w:hint="eastAsia"/>
                <w:sz w:val="24"/>
                <w:szCs w:val="24"/>
              </w:rPr>
              <w:t>约束：t_接口 &lt; 500 ms, t_广播 &lt; 1 s, t_阈值下行热生效 ≤ 10 s</w:t>
            </w:r>
            <w:r>
              <w:rPr>
                <w:rFonts w:ascii="仿宋" w:hAnsi="仿宋" w:eastAsia="仿宋" w:cs="仿宋" w:hint="eastAsia"/>
                <w:sz w:val="24"/>
                <w:szCs w:val="24"/>
              </w:rPr>
              <w:tab/>
            </w:r>
            <w:r>
              <w:rPr>
                <w:rFonts w:ascii="仿宋" w:hAnsi="仿宋" w:eastAsia="仿宋" w:cs="仿宋" w:hint="eastAsia"/>
                <w:sz w:val="24"/>
                <w:szCs w:val="24"/>
              </w:rPr>
              <w:t>（14）</w:t>
            </w:r>
          </w:p>
          <w:p w14:paraId="41374E84">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稳定性：连续 72 小时真机采集入库不中断，MQTT/UDP 双通道互为备份，缓存组件不可用时自动降级本地运行，LoRa 组网丢包率与续航满足井下布设要求。</w:t>
            </w:r>
          </w:p>
          <w:p w14:paraId="1A82EF93">
            <w:pPr>
              <w:keepNext w:val="0"/>
              <w:keepLines w:val="0"/>
              <w:pageBreakBefore w:val="0"/>
              <w:widowControl w:val="0"/>
              <w:kinsoku/>
              <w:wordWrap/>
              <w:overflowPunct/>
              <w:topLinePunct w:val="0"/>
              <w:autoSpaceDE/>
              <w:autoSpaceDN/>
              <w:bidi w:val="0"/>
              <w:adjustRightInd/>
              <w:snapToGrid w:val="0"/>
              <w:spacing w:before="156" w:beforeLines="50" w:after="156" w:afterLines="50" w:line="30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兼容性：适配 Windows 11、统信 UOS/Deepin、鸿蒙终端环境与主流浏览器，WebGL 渲染受限环境下具备自动降级二维场景能力。</w:t>
            </w:r>
          </w:p>
          <w:p w14:paraId="5985009B">
            <w:pPr>
              <w:snapToGrid w:val="0"/>
              <w:spacing w:before="156" w:beforeLines="50" w:after="156" w:afterLines="50" w:line="300" w:lineRule="auto"/>
              <w:rPr>
                <w:rFonts w:hint="eastAsia" w:ascii="宋体" w:hAnsi="宋体"/>
                <w:b/>
                <w:bCs/>
                <w:sz w:val="24"/>
              </w:rPr>
            </w:pPr>
          </w:p>
          <w:p w14:paraId="5E752BAC">
            <w:pPr>
              <w:snapToGrid w:val="0"/>
              <w:spacing w:before="156" w:beforeLines="50" w:after="156" w:afterLines="50" w:line="300" w:lineRule="auto"/>
              <w:rPr>
                <w:rFonts w:hint="eastAsia" w:ascii="宋体" w:hAnsi="宋体"/>
                <w:b/>
                <w:bCs/>
                <w:sz w:val="24"/>
              </w:rPr>
            </w:pPr>
          </w:p>
          <w:p w14:paraId="50195EDE">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项目研究进度安排</w:t>
            </w:r>
          </w:p>
          <w:p w14:paraId="4445B31C">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实施按</w:t>
            </w:r>
            <w:r>
              <w:rPr>
                <w:rFonts w:hint="eastAsia" w:ascii="仿宋" w:hAnsi="仿宋" w:eastAsia="仿宋" w:cs="仿宋"/>
                <w:b w:val="0"/>
                <w:bCs w:val="0"/>
                <w:sz w:val="24"/>
                <w:szCs w:val="24"/>
                <w:lang w:val="en-US" w:eastAsia="zh-CN"/>
              </w:rPr>
              <w:t>硬件-软件-VR三端</w:t>
            </w:r>
            <w:r>
              <w:rPr>
                <w:rFonts w:hint="eastAsia" w:ascii="仿宋" w:hAnsi="仿宋" w:eastAsia="仿宋" w:cs="仿宋"/>
                <w:b w:val="0"/>
                <w:bCs w:val="0"/>
                <w:sz w:val="24"/>
                <w:szCs w:val="24"/>
              </w:rPr>
              <w:t>组织，各层工作及其时序如下。</w:t>
            </w:r>
          </w:p>
          <w:p w14:paraId="1A3EA47F">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前期准备（2026.9-2026.11）</w:t>
            </w:r>
          </w:p>
          <w:p w14:paraId="1AAB56B6">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（1）对当前项目进行需求分析、制定可行性方案，对项目功能进行概要设计和需求硬件固件进行采购，为三层结构实现奠定基础。</w:t>
            </w:r>
            <w:bookmarkStart w:id="0" w:name="_GoBack"/>
            <w:bookmarkEnd w:id="0"/>
          </w:p>
          <w:p w14:paraId="43037856">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硬件层（2026.11—2027.2）</w:t>
            </w:r>
          </w:p>
          <w:p w14:paraId="113BE7A7">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（1）传感器实物标定与布设落地：对薄膜压力、超声波测距、锚杆应变、投入式压力变送器与电化学模组逐路标定，重点完成 MQ2、FSR 系数校准，形成 11 类监测点位（工作面 1.5 m 间距、巷道 50 m 测站、回风巷顶板钻孔、风流断面）的布设与安装工艺。</w:t>
            </w:r>
          </w:p>
          <w:p w14:paraId="2D212259">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）采集链路打通：完成 STM32 七路采集（weight/yewei/fsr/distance</w:t>
            </w:r>
          </w:p>
          <w:p w14:paraId="0DAB4E16">
            <w:pPr>
              <w:keepNext w:val="0"/>
              <w:keepLines w:val="0"/>
              <w:pageBreakBefore w:val="0"/>
              <w:kinsoku/>
              <w:wordWrap/>
              <w:overflowPunct/>
              <w:topLinePunct w:val="0"/>
              <w:autoSpaceDE/>
              <w:autoSpaceDN/>
              <w:bidi w:val="0"/>
              <w:adjustRightInd/>
              <w:snapToGrid w:val="0"/>
              <w:spacing w:before="156" w:beforeLines="50" w:after="156" w:afterLines="50" w:line="30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/mq2_adc/temp/humidity）→ 串口/ESP8266 → MQTT Broker → 后端桥接服务的端到端联调，解决桥接模块尚未在服务主入口接线的问题，实现真机数据入库上屏。</w:t>
            </w:r>
          </w:p>
          <w:p w14:paraId="26B44A29">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（3）组网与就地能力：验证 LoRa Mesh + 边缘网关在巷道遮挡条件下的丢包率与续航，完成阈值热更新与 OLED/声光就地告警的下行执行，使预警在最末端也能被现场人员直接感知。</w:t>
            </w:r>
          </w:p>
          <w:p w14:paraId="4EFDCBC7">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软件层（2026.11—2027.3）</w:t>
            </w:r>
          </w:p>
          <w:p w14:paraId="79F98B86">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）数据治理与存储：完善解析入库、时间对齐与滑动窗口统计，落地 PostgreSQL + Redis 双缓存与冷热数据归档，保障</w:t>
            </w:r>
            <w:r>
              <w:rPr>
                <w:rFonts w:hint="eastAsia" w:ascii="仿宋" w:hAnsi="仿宋" w:eastAsia="仿宋" w:cs="仿宋"/>
                <w:b w:val="0"/>
                <w:bCs w:val="0"/>
                <w:sz w:val="24"/>
                <w:szCs w:val="24"/>
                <w:lang w:val="en-US" w:eastAsia="zh-CN"/>
              </w:rPr>
              <w:t>硬件</w:t>
            </w:r>
            <w:r>
              <w:rPr>
                <w:rFonts w:hint="eastAsia" w:ascii="仿宋" w:hAnsi="仿宋" w:eastAsia="仿宋" w:cs="仿宋"/>
                <w:b w:val="0"/>
                <w:bCs w:val="0"/>
                <w:sz w:val="24"/>
                <w:szCs w:val="24"/>
              </w:rPr>
              <w:t xml:space="preserve">、VR </w:t>
            </w:r>
            <w:r>
              <w:rPr>
                <w:rFonts w:hint="eastAsia" w:ascii="仿宋" w:hAnsi="仿宋" w:eastAsia="仿宋" w:cs="仿宋"/>
                <w:b w:val="0"/>
                <w:bCs w:val="0"/>
                <w:sz w:val="24"/>
                <w:szCs w:val="24"/>
                <w:lang w:val="en-US" w:eastAsia="zh-CN"/>
              </w:rPr>
              <w:t>两端</w:t>
            </w:r>
            <w:r>
              <w:rPr>
                <w:rFonts w:hint="eastAsia" w:ascii="仿宋" w:hAnsi="仿宋" w:eastAsia="仿宋" w:cs="仿宋"/>
                <w:b w:val="0"/>
                <w:bCs w:val="0"/>
                <w:sz w:val="24"/>
                <w:szCs w:val="24"/>
              </w:rPr>
              <w:t>来源数据在同一套契约下融合。</w:t>
            </w:r>
          </w:p>
          <w:p w14:paraId="03D64072">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预警模型深化：引入发榜单位提供的脱敏历史数据集与仿真数据混合训练；补齐"蓝色—黄色—橙色—红色"四级预警体系与阈值可配置能力；建立漏报代价优先的样本加权与难负样本策略；开展阈值扫描与分级精确率/召回率分析，目标在保持误报率 ≤15% 前提下将红色预警召回率提升至 80% 以上。</w:t>
            </w:r>
          </w:p>
          <w:p w14:paraId="1D39144D">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）管控业务与安全加固：贯通企业端值守、智库端模型评审、监管端跨矿督办业务流程，完善预警升级状态机与分析报表；完成凭据分环境隔离、公开路由收敛、备份恢复演练与长稳运行测试。</w:t>
            </w:r>
          </w:p>
          <w:p w14:paraId="12910EF3">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VR/大屏层（2026.12—2027.3）</w:t>
            </w:r>
          </w:p>
          <w:p w14:paraId="4298C44E">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）孪生场景升级：在现有 SVG 孪生场景与六图层云图基础上，引入 WebGL 三维渲染引擎构建巷道与覆岩三维模型，实现应力场/位移场三维云图切片与断层、溶洞、含水层等地质构造的空间关联表达，并保留渲染能力探测与 SVG 降级路径。</w:t>
            </w:r>
          </w:p>
          <w:p w14:paraId="4A5FDB7C">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）推演与回放：开发灾变过程时间轴回放与"如果—怎样"式应急方案推演，完善长按测点—关联云图连锁扩张的交互研判机制。</w:t>
            </w:r>
          </w:p>
          <w:p w14:paraId="18A786CC">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）多端一致与双向交互：对齐综合态势大屏、企业端、智库端、监管端与鸿蒙移动端的孪生呈现，扩展 VR 端经 UDP 通道像硬件一样上下行数据的交互路径，支撑沉浸式场景下的协同研判。</w:t>
            </w:r>
          </w:p>
          <w:p w14:paraId="358736F2">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集成与结题（2027.3—2027.5）</w:t>
            </w:r>
          </w:p>
          <w:p w14:paraId="45E94BB0">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rPr>
              <w:t>）三端全链路集成验证：与煤矿现有安全监控系统开展接口适配验证，完成端到端联调与并发时延压测（接口响应 &lt;500 ms、WebSocket 广播 &lt;1 s、预警端到端响应 ≤5 s）。</w:t>
            </w:r>
          </w:p>
          <w:p w14:paraId="0F21EA70">
            <w:pPr>
              <w:keepNext w:val="0"/>
              <w:keepLines w:val="0"/>
              <w:pageBreakBefore w:val="0"/>
              <w:kinsoku/>
              <w:wordWrap/>
              <w:overflowPunct/>
              <w:topLinePunct w:val="0"/>
              <w:autoSpaceDE/>
              <w:autoSpaceDN/>
              <w:bidi w:val="0"/>
              <w:adjustRightInd/>
              <w:snapToGrid w:val="0"/>
              <w:spacing w:before="156" w:beforeLines="50" w:after="156" w:afterLines="50" w:line="30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5</w:t>
            </w:r>
            <w:r>
              <w:rPr>
                <w:rFonts w:hint="eastAsia" w:ascii="仿宋" w:hAnsi="仿宋" w:eastAsia="仿宋" w:cs="仿宋"/>
                <w:b w:val="0"/>
                <w:bCs w:val="0"/>
                <w:sz w:val="24"/>
                <w:szCs w:val="24"/>
              </w:rPr>
              <w:t>）成果凝练：整理算法说明与演示视频、源代码与部署包，撰写研究报告与论文、申请软件著作权，形成结题材料并按赛事规范完善作品。</w:t>
            </w:r>
          </w:p>
          <w:p w14:paraId="328E4F42">
            <w:pPr>
              <w:snapToGrid w:val="0"/>
              <w:spacing w:before="156" w:beforeLines="50" w:after="156" w:afterLines="50" w:line="300" w:lineRule="auto"/>
              <w:rPr>
                <w:rFonts w:hint="eastAsia" w:ascii="宋体" w:hAnsi="宋体"/>
                <w:b/>
                <w:bCs/>
                <w:sz w:val="24"/>
              </w:rPr>
            </w:pPr>
          </w:p>
          <w:p w14:paraId="6FD3548C">
            <w:pPr>
              <w:snapToGrid w:val="0"/>
              <w:spacing w:before="156" w:beforeLines="50" w:after="156" w:afterLines="50" w:line="300" w:lineRule="auto"/>
              <w:rPr>
                <w:rFonts w:hint="eastAsia" w:ascii="宋体" w:hAnsi="宋体"/>
                <w:b/>
                <w:bCs/>
                <w:sz w:val="24"/>
              </w:rPr>
            </w:pPr>
          </w:p>
          <w:p w14:paraId="195F643D">
            <w:pPr>
              <w:numPr>
                <w:ilvl w:val="0"/>
                <w:numId w:val="3"/>
              </w:numPr>
              <w:tabs>
                <w:tab w:val="left" w:pos="792"/>
                <w:tab w:val="clear" w:pos="972"/>
              </w:tabs>
              <w:snapToGrid w:val="0"/>
              <w:spacing w:before="156" w:beforeLines="50" w:after="156" w:afterLines="50" w:line="300" w:lineRule="auto"/>
              <w:rPr>
                <w:rFonts w:hint="eastAsia" w:ascii="宋体" w:hAnsi="宋体"/>
                <w:b/>
                <w:bCs/>
                <w:sz w:val="24"/>
              </w:rPr>
            </w:pPr>
            <w:r>
              <w:rPr>
                <w:rFonts w:hint="eastAsia" w:ascii="宋体" w:hAnsi="宋体"/>
                <w:b/>
                <w:bCs/>
                <w:sz w:val="24"/>
              </w:rPr>
              <w:t>已有基础</w:t>
            </w:r>
          </w:p>
          <w:p w14:paraId="7B9548DB">
            <w:pPr>
              <w:numPr>
                <w:ilvl w:val="1"/>
                <w:numId w:val="3"/>
              </w:numPr>
              <w:snapToGrid w:val="0"/>
              <w:spacing w:before="50" w:after="50" w:line="300" w:lineRule="auto"/>
              <w:rPr>
                <w:rFonts w:ascii="仿宋_GB2312" w:eastAsia="仿宋_GB2312"/>
                <w:b/>
                <w:bCs/>
                <w:sz w:val="24"/>
              </w:rPr>
            </w:pPr>
            <w:r>
              <w:rPr>
                <w:rFonts w:hint="eastAsia" w:ascii="仿宋_GB2312" w:eastAsia="仿宋_GB2312"/>
                <w:b/>
                <w:sz w:val="24"/>
              </w:rPr>
              <w:t>与本项目有关的研究积累和已取得的成绩</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670" w:hRule="atLeast"/>
              </w:trPr>
              <w:tc>
                <w:tcPr>
                  <w:tcW w:type="dxa" w:w="8499"/>
                </w:tcPr>
                <w:p>
                  <w:pPr>
                    <w:spacing w:line="360" w:lineRule="auto"/>
                    <w:jc w:val="center"/>
                  </w:pPr>
                  <w:r>
                    <w:rPr>
                      <w:rFonts w:ascii="仿宋" w:hAnsi="仿宋" w:eastAsia="仿宋"/>
                      <w:b/>
                      <w:color w:val="A0A0A0"/>
                      <w:sz w:val="28"/>
                    </w:rPr>
                    <w:t>【图13 占位框】</w:t>
                  </w:r>
                </w:p>
                <w:p>
                  <w:pPr>
                    <w:jc w:val="center"/>
                  </w:pPr>
                  <w:r>
                    <w:rPr>
                      <w:rFonts w:ascii="仿宋" w:hAnsi="仿宋" w:eastAsia="仿宋"/>
                      <w:b w:val="0"/>
                      <w:color w:val="A0A0A0"/>
                      <w:sz w:val="21"/>
                    </w:rPr>
                    <w:t>建议尺寸：宽 15 cm × 高 10 cm（六宫格）</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图13  系统实物与运行截图组图</w:t>
            </w:r>
          </w:p>
          <w:p>
            <w:pPr>
              <w:spacing w:line="360" w:lineRule="auto" w:before="0" w:after="0"/>
              <w:jc w:val="center"/>
            </w:pPr>
            <w:r>
              <w:rPr>
                <w:rFonts w:ascii="仿宋" w:hAnsi="仿宋" w:eastAsia="仿宋" w:cs="仿宋" w:hint="eastAsia"/>
                <w:sz w:val="24"/>
                <w:szCs w:val="24"/>
              </w:rPr>
              <w:t>对应「3.3 功能成果」三项功能，说明硬件与平台均已实物贯通、可现场演示。</w:t>
            </w:r>
          </w:p>
          <w:p w14:paraId="2918EB74">
            <w:pPr>
              <w:snapToGrid w:val="0"/>
              <w:spacing w:before="156" w:beforeLines="50" w:after="156" w:afterLines="50" w:line="300" w:lineRule="auto"/>
              <w:rPr>
                <w:rFonts w:hint="eastAsia" w:ascii="宋体" w:hAnsi="宋体"/>
                <w:b/>
                <w:bCs/>
                <w:sz w:val="24"/>
              </w:rPr>
            </w:pPr>
          </w:p>
          <w:p w14:paraId="3C0D7837">
            <w:pPr>
              <w:snapToGrid w:val="0"/>
              <w:spacing w:before="156" w:beforeLines="50" w:after="156" w:afterLines="50" w:line="300" w:lineRule="auto"/>
              <w:rPr>
                <w:rFonts w:hint="eastAsia" w:ascii="宋体" w:hAnsi="宋体"/>
                <w:b/>
                <w:bCs/>
                <w:sz w:val="24"/>
              </w:rPr>
            </w:pPr>
          </w:p>
          <w:p w14:paraId="6BC99CDC">
            <w:pPr>
              <w:snapToGrid w:val="0"/>
              <w:spacing w:before="156" w:beforeLines="50" w:after="156" w:afterLines="50" w:line="300" w:lineRule="auto"/>
              <w:rPr>
                <w:rFonts w:hint="eastAsia" w:ascii="宋体" w:hAnsi="宋体"/>
                <w:b/>
                <w:bCs/>
                <w:sz w:val="24"/>
              </w:rPr>
            </w:pPr>
          </w:p>
          <w:p w14:paraId="30939DAE">
            <w:pPr>
              <w:numPr>
                <w:ilvl w:val="1"/>
                <w:numId w:val="3"/>
              </w:numPr>
              <w:snapToGrid w:val="0"/>
              <w:spacing w:before="50" w:after="50" w:line="300" w:lineRule="auto"/>
              <w:rPr>
                <w:rFonts w:ascii="仿宋_GB2312" w:eastAsia="仿宋_GB2312"/>
                <w:b/>
                <w:bCs/>
                <w:sz w:val="24"/>
              </w:rPr>
            </w:pPr>
            <w:r>
              <w:rPr>
                <w:rFonts w:hint="eastAsia" w:ascii="仿宋_GB2312" w:eastAsia="仿宋_GB2312"/>
                <w:b/>
                <w:sz w:val="24"/>
              </w:rPr>
              <w:t>已具备的条件，尚缺少的条件及解决方法</w:t>
            </w:r>
          </w:p>
          <w:p w14:paraId="2A14FC7F">
            <w:pPr>
              <w:snapToGrid w:val="0"/>
              <w:spacing w:before="156" w:beforeLines="50" w:after="156" w:afterLines="50" w:line="300" w:lineRule="auto"/>
              <w:rPr>
                <w:rFonts w:eastAsia="黑体"/>
                <w:b/>
                <w:sz w:val="28"/>
              </w:rPr>
            </w:pPr>
          </w:p>
          <w:p w14:paraId="02275747">
            <w:pPr>
              <w:snapToGrid w:val="0"/>
              <w:spacing w:before="156" w:beforeLines="50" w:after="156" w:afterLines="50" w:line="300" w:lineRule="auto"/>
              <w:rPr>
                <w:rFonts w:eastAsia="黑体"/>
                <w:b/>
                <w:sz w:val="28"/>
              </w:rPr>
            </w:pPr>
          </w:p>
          <w:p w14:paraId="3A4BE8AE">
            <w:pPr>
              <w:snapToGrid w:val="0"/>
              <w:spacing w:before="156" w:beforeLines="50" w:after="156" w:afterLines="50" w:line="300" w:lineRule="auto"/>
              <w:rPr>
                <w:rFonts w:eastAsia="黑体"/>
                <w:b/>
                <w:sz w:val="28"/>
              </w:rPr>
            </w:pPr>
          </w:p>
        </w:tc>
      </w:tr>
      <w:tr w14:paraId="3B3A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0" w:hRule="atLeast"/>
        </w:trPr>
        <w:tc>
          <w:tcPr>
            <w:tcW w:w="8715" w:type="dxa"/>
          </w:tcPr>
          <w:p w14:paraId="2D6DABF3">
            <w:pPr>
              <w:snapToGrid w:val="0"/>
              <w:spacing w:before="156" w:beforeLines="50" w:after="156" w:afterLines="50" w:line="300" w:lineRule="auto"/>
              <w:rPr>
                <w:rFonts w:eastAsia="黑体"/>
                <w:b/>
                <w:sz w:val="28"/>
              </w:rPr>
            </w:pPr>
          </w:p>
        </w:tc>
      </w:tr>
    </w:tbl>
    <w:p w14:paraId="2498DB0D">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三、指导教师意见</w:t>
      </w:r>
    </w:p>
    <w:tbl>
      <w:tblPr>
        <w:tblStyle w:val="8"/>
        <w:tblW w:w="8542"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42"/>
      </w:tblGrid>
      <w:tr w14:paraId="541333A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65" w:hRule="exact"/>
        </w:trPr>
        <w:tc>
          <w:tcPr>
            <w:tcW w:w="8542" w:type="dxa"/>
            <w:tcBorders>
              <w:top w:val="single" w:color="auto" w:sz="4" w:space="0"/>
              <w:left w:val="single" w:color="auto" w:sz="4" w:space="0"/>
              <w:bottom w:val="single" w:color="auto" w:sz="4" w:space="0"/>
              <w:right w:val="single" w:color="auto" w:sz="4" w:space="0"/>
            </w:tcBorders>
          </w:tcPr>
          <w:p w14:paraId="17183D4B">
            <w:pPr>
              <w:spacing w:line="380" w:lineRule="exact"/>
              <w:rPr>
                <w:rFonts w:ascii="仿宋_GB2312" w:eastAsia="仿宋_GB2312"/>
                <w:sz w:val="24"/>
              </w:rPr>
            </w:pPr>
          </w:p>
          <w:p w14:paraId="17F4293C">
            <w:pPr>
              <w:spacing w:line="380" w:lineRule="exact"/>
              <w:rPr>
                <w:rFonts w:ascii="仿宋_GB2312" w:eastAsia="仿宋_GB2312"/>
                <w:sz w:val="24"/>
              </w:rPr>
            </w:pPr>
          </w:p>
          <w:p w14:paraId="0CDEA51D">
            <w:pPr>
              <w:spacing w:line="380" w:lineRule="exact"/>
              <w:rPr>
                <w:rFonts w:ascii="仿宋_GB2312" w:eastAsia="仿宋_GB2312"/>
                <w:sz w:val="24"/>
              </w:rPr>
            </w:pPr>
          </w:p>
          <w:p w14:paraId="5470F37E">
            <w:pPr>
              <w:spacing w:line="380" w:lineRule="exact"/>
              <w:rPr>
                <w:rFonts w:ascii="仿宋_GB2312" w:eastAsia="仿宋_GB2312"/>
                <w:sz w:val="24"/>
              </w:rPr>
            </w:pPr>
          </w:p>
          <w:p w14:paraId="0C3A1E31">
            <w:pPr>
              <w:spacing w:line="380" w:lineRule="exact"/>
              <w:rPr>
                <w:rFonts w:ascii="仿宋_GB2312" w:eastAsia="仿宋_GB2312"/>
                <w:sz w:val="24"/>
              </w:rPr>
            </w:pPr>
            <w:r>
              <w:rPr>
                <w:rFonts w:hint="eastAsia" w:ascii="仿宋_GB2312" w:eastAsia="仿宋_GB2312"/>
                <w:sz w:val="24"/>
              </w:rPr>
              <w:t xml:space="preserve">                                        </w:t>
            </w:r>
          </w:p>
          <w:p w14:paraId="2CA4E31E">
            <w:pPr>
              <w:spacing w:line="380" w:lineRule="exact"/>
              <w:rPr>
                <w:rFonts w:ascii="仿宋_GB2312" w:eastAsia="仿宋_GB2312"/>
                <w:sz w:val="24"/>
              </w:rPr>
            </w:pPr>
          </w:p>
          <w:p w14:paraId="4CA9BAE8">
            <w:pPr>
              <w:spacing w:line="380" w:lineRule="exact"/>
              <w:ind w:firstLine="5180" w:firstLineChars="2150"/>
              <w:rPr>
                <w:rFonts w:ascii="仿宋_GB2312" w:eastAsia="仿宋_GB2312"/>
                <w:b/>
                <w:sz w:val="24"/>
              </w:rPr>
            </w:pPr>
            <w:r>
              <w:rPr>
                <w:rFonts w:hint="eastAsia" w:ascii="仿宋_GB2312" w:eastAsia="仿宋_GB2312"/>
                <w:b/>
                <w:sz w:val="24"/>
              </w:rPr>
              <w:t>导师（签章）：</w:t>
            </w:r>
          </w:p>
          <w:p w14:paraId="26743B49">
            <w:pPr>
              <w:spacing w:line="380" w:lineRule="exact"/>
              <w:ind w:firstLine="5903" w:firstLineChars="2450"/>
              <w:rPr>
                <w:rFonts w:ascii="仿宋_GB2312" w:eastAsia="仿宋_GB2312"/>
                <w:b/>
                <w:sz w:val="24"/>
              </w:rPr>
            </w:pPr>
            <w:r>
              <w:rPr>
                <w:rFonts w:hint="eastAsia" w:ascii="仿宋_GB2312" w:eastAsia="仿宋_GB2312"/>
                <w:b/>
                <w:sz w:val="24"/>
              </w:rPr>
              <w:t>年  月   日</w:t>
            </w:r>
          </w:p>
        </w:tc>
      </w:tr>
    </w:tbl>
    <w:p w14:paraId="7FB1D9EB">
      <w:pPr>
        <w:tabs>
          <w:tab w:val="left" w:pos="720"/>
          <w:tab w:val="left" w:pos="1544"/>
        </w:tabs>
        <w:spacing w:before="156" w:beforeLines="50" w:after="156" w:afterLines="50" w:line="300" w:lineRule="auto"/>
        <w:ind w:right="567"/>
        <w:rPr>
          <w:rFonts w:eastAsia="黑体"/>
          <w:bCs/>
          <w:sz w:val="28"/>
        </w:rPr>
      </w:pPr>
    </w:p>
    <w:p w14:paraId="6502126A">
      <w:pPr>
        <w:tabs>
          <w:tab w:val="left" w:pos="720"/>
          <w:tab w:val="left" w:pos="1544"/>
        </w:tabs>
        <w:spacing w:before="156" w:beforeLines="50" w:after="156" w:afterLines="50" w:line="300" w:lineRule="auto"/>
        <w:ind w:right="567"/>
        <w:rPr>
          <w:rFonts w:eastAsia="黑体"/>
          <w:bCs/>
          <w:sz w:val="28"/>
        </w:rPr>
      </w:pPr>
    </w:p>
    <w:p w14:paraId="1B896B10">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四、系意见</w:t>
      </w:r>
      <w:r>
        <w:rPr>
          <w:rFonts w:eastAsia="黑体"/>
          <w:bCs/>
          <w:sz w:val="28"/>
        </w:rPr>
        <w:t xml:space="preserve">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30D5235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38" w:hRule="exact"/>
        </w:trPr>
        <w:tc>
          <w:tcPr>
            <w:tcW w:w="8505" w:type="dxa"/>
            <w:tcBorders>
              <w:top w:val="single" w:color="auto" w:sz="4" w:space="0"/>
              <w:left w:val="single" w:color="auto" w:sz="4" w:space="0"/>
              <w:bottom w:val="single" w:color="auto" w:sz="4" w:space="0"/>
              <w:right w:val="single" w:color="auto" w:sz="4" w:space="0"/>
            </w:tcBorders>
          </w:tcPr>
          <w:p w14:paraId="01DD16A3">
            <w:pPr>
              <w:spacing w:line="380" w:lineRule="exact"/>
              <w:rPr>
                <w:rFonts w:ascii="仿宋_GB2312" w:eastAsia="仿宋_GB2312"/>
                <w:sz w:val="24"/>
              </w:rPr>
            </w:pPr>
          </w:p>
          <w:p w14:paraId="19BA2C2E">
            <w:pPr>
              <w:spacing w:line="380" w:lineRule="exact"/>
              <w:rPr>
                <w:rFonts w:ascii="仿宋_GB2312" w:eastAsia="仿宋_GB2312"/>
                <w:sz w:val="24"/>
              </w:rPr>
            </w:pPr>
          </w:p>
          <w:p w14:paraId="163DA6B3">
            <w:pPr>
              <w:spacing w:line="380" w:lineRule="exact"/>
              <w:rPr>
                <w:rFonts w:ascii="仿宋_GB2312" w:eastAsia="仿宋_GB2312"/>
                <w:sz w:val="24"/>
              </w:rPr>
            </w:pPr>
          </w:p>
          <w:p w14:paraId="5630DE2B">
            <w:pPr>
              <w:spacing w:line="380" w:lineRule="exact"/>
              <w:ind w:firstLine="4337" w:firstLineChars="1800"/>
              <w:rPr>
                <w:rFonts w:ascii="仿宋_GB2312" w:eastAsia="仿宋_GB2312"/>
                <w:b/>
                <w:sz w:val="24"/>
              </w:rPr>
            </w:pPr>
          </w:p>
          <w:p w14:paraId="2BC7F9DB">
            <w:pPr>
              <w:spacing w:line="380" w:lineRule="exact"/>
              <w:rPr>
                <w:rFonts w:ascii="仿宋_GB2312" w:eastAsia="仿宋_GB2312"/>
                <w:b/>
                <w:sz w:val="24"/>
              </w:rPr>
            </w:pPr>
          </w:p>
          <w:p w14:paraId="31C8FF0E">
            <w:pPr>
              <w:spacing w:line="380" w:lineRule="exact"/>
              <w:ind w:firstLine="4337" w:firstLineChars="1800"/>
              <w:rPr>
                <w:rFonts w:ascii="仿宋_GB2312" w:eastAsia="仿宋_GB2312"/>
                <w:b/>
                <w:sz w:val="24"/>
              </w:rPr>
            </w:pPr>
          </w:p>
          <w:p w14:paraId="06ED9448">
            <w:pPr>
              <w:spacing w:line="380" w:lineRule="exact"/>
              <w:ind w:firstLine="4337" w:firstLineChars="1800"/>
              <w:rPr>
                <w:rFonts w:ascii="仿宋_GB2312" w:eastAsia="仿宋_GB2312"/>
                <w:b/>
                <w:sz w:val="24"/>
              </w:rPr>
            </w:pPr>
            <w:r>
              <w:rPr>
                <w:rFonts w:hint="eastAsia" w:ascii="仿宋_GB2312" w:eastAsia="仿宋_GB2312"/>
                <w:b/>
                <w:sz w:val="24"/>
              </w:rPr>
              <w:t>系分管领导（签章）：</w:t>
            </w:r>
          </w:p>
          <w:p w14:paraId="635E399D">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7BBA6CC4">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 xml:space="preserve">五、学校大学生创新创业训练计划专家组意见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0E3D8FA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12" w:hRule="exact"/>
        </w:trPr>
        <w:tc>
          <w:tcPr>
            <w:tcW w:w="8505" w:type="dxa"/>
            <w:tcBorders>
              <w:top w:val="single" w:color="auto" w:sz="4" w:space="0"/>
              <w:left w:val="single" w:color="auto" w:sz="4" w:space="0"/>
              <w:bottom w:val="single" w:color="auto" w:sz="4" w:space="0"/>
              <w:right w:val="single" w:color="auto" w:sz="4" w:space="0"/>
            </w:tcBorders>
          </w:tcPr>
          <w:p w14:paraId="39EB8E12">
            <w:pPr>
              <w:spacing w:line="380" w:lineRule="exact"/>
              <w:rPr>
                <w:rFonts w:ascii="仿宋_GB2312" w:eastAsia="仿宋_GB2312"/>
                <w:sz w:val="24"/>
              </w:rPr>
            </w:pPr>
          </w:p>
          <w:p w14:paraId="1CB60D8D">
            <w:pPr>
              <w:spacing w:line="380" w:lineRule="exact"/>
              <w:rPr>
                <w:rFonts w:ascii="仿宋_GB2312" w:eastAsia="仿宋_GB2312"/>
                <w:sz w:val="24"/>
              </w:rPr>
            </w:pPr>
          </w:p>
          <w:p w14:paraId="0F3298DE">
            <w:pPr>
              <w:spacing w:line="380" w:lineRule="exact"/>
              <w:rPr>
                <w:rFonts w:ascii="仿宋_GB2312" w:eastAsia="仿宋_GB2312"/>
                <w:sz w:val="24"/>
              </w:rPr>
            </w:pPr>
          </w:p>
          <w:p w14:paraId="231F2A6F">
            <w:pPr>
              <w:spacing w:line="380" w:lineRule="exact"/>
              <w:rPr>
                <w:rFonts w:ascii="仿宋_GB2312" w:eastAsia="仿宋_GB2312"/>
                <w:sz w:val="24"/>
              </w:rPr>
            </w:pPr>
          </w:p>
          <w:p w14:paraId="7DAB971F">
            <w:pPr>
              <w:spacing w:line="380" w:lineRule="exact"/>
              <w:rPr>
                <w:rFonts w:ascii="仿宋_GB2312" w:eastAsia="仿宋_GB2312"/>
                <w:sz w:val="24"/>
              </w:rPr>
            </w:pPr>
          </w:p>
          <w:p w14:paraId="3AD1864F">
            <w:pPr>
              <w:spacing w:line="380" w:lineRule="exact"/>
              <w:rPr>
                <w:rFonts w:ascii="仿宋_GB2312" w:eastAsia="仿宋_GB2312"/>
                <w:sz w:val="24"/>
              </w:rPr>
            </w:pPr>
          </w:p>
          <w:p w14:paraId="131A5CE5">
            <w:pPr>
              <w:spacing w:line="380" w:lineRule="exact"/>
              <w:ind w:firstLine="4698" w:firstLineChars="1950"/>
              <w:rPr>
                <w:rFonts w:ascii="仿宋_GB2312" w:eastAsia="仿宋_GB2312"/>
                <w:b/>
                <w:sz w:val="24"/>
              </w:rPr>
            </w:pPr>
            <w:r>
              <w:rPr>
                <w:rFonts w:hint="eastAsia" w:ascii="仿宋_GB2312" w:eastAsia="仿宋_GB2312"/>
                <w:b/>
                <w:sz w:val="24"/>
              </w:rPr>
              <w:t>负责人（签章）：</w:t>
            </w:r>
          </w:p>
          <w:p w14:paraId="756A68A6">
            <w:pPr>
              <w:spacing w:line="380" w:lineRule="exact"/>
              <w:ind w:firstLine="5662" w:firstLineChars="2350"/>
              <w:rPr>
                <w:rFonts w:ascii="仿宋_GB2312" w:eastAsia="仿宋_GB2312"/>
                <w:b/>
                <w:sz w:val="24"/>
              </w:rPr>
            </w:pPr>
            <w:r>
              <w:rPr>
                <w:rFonts w:hint="eastAsia" w:ascii="仿宋_GB2312" w:eastAsia="仿宋_GB2312"/>
                <w:b/>
                <w:sz w:val="24"/>
              </w:rPr>
              <w:t>年  月   日</w:t>
            </w:r>
          </w:p>
        </w:tc>
      </w:tr>
    </w:tbl>
    <w:p w14:paraId="6ABBFFE8">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六、审批意见</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6BB3806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020" w:hRule="exact"/>
        </w:trPr>
        <w:tc>
          <w:tcPr>
            <w:tcW w:w="8505" w:type="dxa"/>
            <w:tcBorders>
              <w:top w:val="single" w:color="auto" w:sz="4" w:space="0"/>
              <w:left w:val="single" w:color="auto" w:sz="4" w:space="0"/>
              <w:bottom w:val="single" w:color="auto" w:sz="4" w:space="0"/>
              <w:right w:val="single" w:color="auto" w:sz="4" w:space="0"/>
            </w:tcBorders>
          </w:tcPr>
          <w:p w14:paraId="4955611D">
            <w:pPr>
              <w:spacing w:line="380" w:lineRule="exact"/>
              <w:rPr>
                <w:rFonts w:ascii="仿宋_GB2312" w:eastAsia="仿宋_GB2312"/>
                <w:sz w:val="24"/>
              </w:rPr>
            </w:pPr>
          </w:p>
          <w:p w14:paraId="6B7B7CB6">
            <w:pPr>
              <w:spacing w:line="380" w:lineRule="exact"/>
              <w:rPr>
                <w:rFonts w:ascii="仿宋_GB2312" w:eastAsia="仿宋_GB2312"/>
                <w:sz w:val="24"/>
              </w:rPr>
            </w:pPr>
          </w:p>
          <w:p w14:paraId="7B6C3086">
            <w:pPr>
              <w:spacing w:line="380" w:lineRule="exact"/>
              <w:rPr>
                <w:rFonts w:ascii="仿宋_GB2312" w:eastAsia="仿宋_GB2312"/>
                <w:sz w:val="24"/>
              </w:rPr>
            </w:pPr>
          </w:p>
          <w:p w14:paraId="008E7FCB">
            <w:pPr>
              <w:spacing w:line="380" w:lineRule="exact"/>
              <w:rPr>
                <w:rFonts w:ascii="仿宋_GB2312" w:eastAsia="仿宋_GB2312"/>
                <w:sz w:val="24"/>
              </w:rPr>
            </w:pPr>
          </w:p>
          <w:p w14:paraId="75C92CA4">
            <w:pPr>
              <w:spacing w:line="380" w:lineRule="exact"/>
              <w:rPr>
                <w:rFonts w:ascii="仿宋_GB2312" w:eastAsia="仿宋_GB2312"/>
                <w:sz w:val="24"/>
              </w:rPr>
            </w:pPr>
          </w:p>
          <w:p w14:paraId="41C27BA0">
            <w:pPr>
              <w:spacing w:line="380" w:lineRule="exact"/>
              <w:ind w:firstLine="4819" w:firstLineChars="2000"/>
              <w:rPr>
                <w:rFonts w:ascii="仿宋_GB2312" w:eastAsia="仿宋_GB2312"/>
                <w:b/>
                <w:sz w:val="24"/>
              </w:rPr>
            </w:pPr>
            <w:r>
              <w:rPr>
                <w:rFonts w:hint="eastAsia" w:ascii="仿宋_GB2312" w:eastAsia="仿宋_GB2312"/>
                <w:b/>
                <w:sz w:val="24"/>
              </w:rPr>
              <w:t>分管领导（签章）：</w:t>
            </w:r>
          </w:p>
          <w:p w14:paraId="5D0D8BA7">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6051B7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方正姚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5567B"/>
    <w:multiLevelType w:val="multilevel"/>
    <w:tmpl w:val="02E556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6E93DEA"/>
    <w:multiLevelType w:val="multilevel"/>
    <w:tmpl w:val="06E93DEA"/>
    <w:lvl w:ilvl="0" w:tentative="0">
      <w:start w:val="1"/>
      <w:numFmt w:val="japaneseCounting"/>
      <w:lvlText w:val="（%1）"/>
      <w:lvlJc w:val="left"/>
      <w:pPr>
        <w:tabs>
          <w:tab w:val="left" w:pos="972"/>
        </w:tabs>
        <w:ind w:left="972" w:hanging="972"/>
      </w:pPr>
      <w:rPr>
        <w:rFonts w:hint="default"/>
      </w:rPr>
    </w:lvl>
    <w:lvl w:ilvl="1" w:tentative="0">
      <w:start w:val="1"/>
      <w:numFmt w:val="decimal"/>
      <w:lvlText w:val="%2."/>
      <w:lvlJc w:val="left"/>
      <w:pPr>
        <w:tabs>
          <w:tab w:val="left" w:pos="780"/>
        </w:tabs>
        <w:ind w:left="780" w:hanging="360"/>
      </w:pPr>
      <w:rPr>
        <w:rFonts w:hint="default"/>
        <w:b w:val="0"/>
      </w:rPr>
    </w:lvl>
    <w:lvl w:ilvl="2" w:tentative="0">
      <w:start w:val="1"/>
      <w:numFmt w:val="japaneseCounting"/>
      <w:lvlText w:val="%3、"/>
      <w:lvlJc w:val="left"/>
      <w:pPr>
        <w:tabs>
          <w:tab w:val="left" w:pos="1560"/>
        </w:tabs>
        <w:ind w:left="1560" w:hanging="720"/>
      </w:pPr>
      <w:rPr>
        <w:rFonts w:hint="default"/>
      </w:rPr>
    </w:lvl>
    <w:lvl w:ilvl="3" w:tentative="0">
      <w:start w:val="2"/>
      <w:numFmt w:val="decimal"/>
      <w:lvlText w:val="%4"/>
      <w:lvlJc w:val="left"/>
      <w:pPr>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A8254E7"/>
    <w:multiLevelType w:val="multilevel"/>
    <w:tmpl w:val="0A8254E7"/>
    <w:lvl w:ilvl="0" w:tentative="0">
      <w:start w:val="1"/>
      <w:numFmt w:val="decimal"/>
      <w:lvlText w:val="（%1）"/>
      <w:lvlJc w:val="left"/>
      <w:pPr>
        <w:tabs>
          <w:tab w:val="left" w:pos="1544"/>
        </w:tabs>
        <w:ind w:left="1544" w:hanging="984"/>
      </w:pPr>
    </w:lvl>
    <w:lvl w:ilvl="1" w:tentative="0">
      <w:start w:val="1"/>
      <w:numFmt w:val="japaneseCounting"/>
      <w:lvlText w:val="%2、"/>
      <w:lvlJc w:val="left"/>
      <w:pPr>
        <w:tabs>
          <w:tab w:val="left" w:pos="1532"/>
        </w:tabs>
        <w:ind w:left="1532" w:hanging="552"/>
      </w:pPr>
      <w:rPr>
        <w:rFonts w:eastAsia="黑体"/>
        <w:sz w:val="28"/>
      </w:r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3">
    <w:nsid w:val="1E2A7585"/>
    <w:multiLevelType w:val="multilevel"/>
    <w:tmpl w:val="1E2A7585"/>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2"/>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4">
    <w:nsid w:val="2B85D5CE"/>
    <w:multiLevelType w:val="multilevel"/>
    <w:tmpl w:val="2B85D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RjMWY1YTA3MDAzMWRlZjFjOTQyMWY0MTI4ZTkwZDUifQ=="/>
  </w:docVars>
  <w:rsids>
    <w:rsidRoot w:val="00172A27"/>
    <w:rsid w:val="000A38CC"/>
    <w:rsid w:val="000E5440"/>
    <w:rsid w:val="000F370A"/>
    <w:rsid w:val="0010484E"/>
    <w:rsid w:val="00120F1D"/>
    <w:rsid w:val="0012237B"/>
    <w:rsid w:val="00124822"/>
    <w:rsid w:val="00150C5F"/>
    <w:rsid w:val="00152D2D"/>
    <w:rsid w:val="00160627"/>
    <w:rsid w:val="00160F7E"/>
    <w:rsid w:val="00172A27"/>
    <w:rsid w:val="00176B55"/>
    <w:rsid w:val="001C52FD"/>
    <w:rsid w:val="001C7D68"/>
    <w:rsid w:val="002B18E4"/>
    <w:rsid w:val="003530F7"/>
    <w:rsid w:val="00364437"/>
    <w:rsid w:val="003934B2"/>
    <w:rsid w:val="00425FA7"/>
    <w:rsid w:val="00427FAE"/>
    <w:rsid w:val="0047573E"/>
    <w:rsid w:val="00505835"/>
    <w:rsid w:val="00575185"/>
    <w:rsid w:val="0057644C"/>
    <w:rsid w:val="00594E42"/>
    <w:rsid w:val="005C222B"/>
    <w:rsid w:val="005F46B9"/>
    <w:rsid w:val="00663191"/>
    <w:rsid w:val="00681F69"/>
    <w:rsid w:val="0068210F"/>
    <w:rsid w:val="006D6888"/>
    <w:rsid w:val="006E1A83"/>
    <w:rsid w:val="00765E65"/>
    <w:rsid w:val="00773DB6"/>
    <w:rsid w:val="007B66BB"/>
    <w:rsid w:val="007F2E5F"/>
    <w:rsid w:val="007F40BB"/>
    <w:rsid w:val="008767B8"/>
    <w:rsid w:val="008A5943"/>
    <w:rsid w:val="008C0C09"/>
    <w:rsid w:val="0092501F"/>
    <w:rsid w:val="00972003"/>
    <w:rsid w:val="00A035B8"/>
    <w:rsid w:val="00A158B7"/>
    <w:rsid w:val="00A26354"/>
    <w:rsid w:val="00A85D07"/>
    <w:rsid w:val="00AE7099"/>
    <w:rsid w:val="00B32C7B"/>
    <w:rsid w:val="00B670C1"/>
    <w:rsid w:val="00B75D85"/>
    <w:rsid w:val="00B8329B"/>
    <w:rsid w:val="00BD5A30"/>
    <w:rsid w:val="00BE18F9"/>
    <w:rsid w:val="00C01A62"/>
    <w:rsid w:val="00C23DD1"/>
    <w:rsid w:val="00C35B2C"/>
    <w:rsid w:val="00C40FA6"/>
    <w:rsid w:val="00D40EB6"/>
    <w:rsid w:val="00D73579"/>
    <w:rsid w:val="00D760F5"/>
    <w:rsid w:val="00D91354"/>
    <w:rsid w:val="00DC27D0"/>
    <w:rsid w:val="00DF041D"/>
    <w:rsid w:val="00DF2C63"/>
    <w:rsid w:val="00EE0619"/>
    <w:rsid w:val="00EF7BEF"/>
    <w:rsid w:val="00F0074C"/>
    <w:rsid w:val="00F76E64"/>
    <w:rsid w:val="00FC319E"/>
    <w:rsid w:val="00FD244A"/>
    <w:rsid w:val="00FF6D2D"/>
    <w:rsid w:val="01BE2F3E"/>
    <w:rsid w:val="05763F86"/>
    <w:rsid w:val="07BD1EB0"/>
    <w:rsid w:val="07F84FC7"/>
    <w:rsid w:val="08E65ADD"/>
    <w:rsid w:val="0B2751BD"/>
    <w:rsid w:val="0C4317E5"/>
    <w:rsid w:val="0EAC5B18"/>
    <w:rsid w:val="125D7462"/>
    <w:rsid w:val="15035344"/>
    <w:rsid w:val="168F513E"/>
    <w:rsid w:val="17616208"/>
    <w:rsid w:val="1B48478E"/>
    <w:rsid w:val="2425465D"/>
    <w:rsid w:val="25AE12D9"/>
    <w:rsid w:val="2D1F12BC"/>
    <w:rsid w:val="37C11A0D"/>
    <w:rsid w:val="3AC6557F"/>
    <w:rsid w:val="3DF32C30"/>
    <w:rsid w:val="44706715"/>
    <w:rsid w:val="47962FFD"/>
    <w:rsid w:val="49917593"/>
    <w:rsid w:val="4D0E317E"/>
    <w:rsid w:val="505C355C"/>
    <w:rsid w:val="507818EE"/>
    <w:rsid w:val="5428488A"/>
    <w:rsid w:val="58225B8C"/>
    <w:rsid w:val="590B3D71"/>
    <w:rsid w:val="5D3E439F"/>
    <w:rsid w:val="62690064"/>
    <w:rsid w:val="6A5B6A7E"/>
    <w:rsid w:val="71050FF3"/>
    <w:rsid w:val="73047FC9"/>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unhideWhenUsed/>
    <w:qFormat/>
    <w:uiPriority w:val="0"/>
    <w:pPr>
      <w:keepNext/>
      <w:keepLines/>
      <w:numPr>
        <w:ilvl w:val="2"/>
        <w:numId w:val="1"/>
      </w:numPr>
      <w:spacing w:beforeLines="50" w:afterLines="50"/>
      <w:outlineLvl w:val="2"/>
    </w:pPr>
    <w:rPr>
      <w:rFonts w:ascii="Times New Roman" w:hAnsi="Times New Roman" w:eastAsia="仿宋_GB2312"/>
      <w:b/>
      <w:bCs/>
      <w:sz w:val="24"/>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qFormat/>
    <w:uiPriority w:val="0"/>
    <w:rPr>
      <w:sz w:val="18"/>
      <w:szCs w:val="18"/>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10">
    <w:name w:val="Strong"/>
    <w:basedOn w:val="9"/>
    <w:qFormat/>
    <w:uiPriority w:val="0"/>
    <w:rPr>
      <w:b/>
    </w:rPr>
  </w:style>
  <w:style w:type="paragraph" w:customStyle="1" w:styleId="11">
    <w:name w:val="列出段落1"/>
    <w:basedOn w:val="1"/>
    <w:qFormat/>
    <w:uiPriority w:val="34"/>
    <w:pPr>
      <w:ind w:firstLine="420" w:firstLineChars="200"/>
    </w:pPr>
  </w:style>
  <w:style w:type="character" w:customStyle="1" w:styleId="12">
    <w:name w:val="页眉 字符"/>
    <w:basedOn w:val="9"/>
    <w:link w:val="6"/>
    <w:qFormat/>
    <w:uiPriority w:val="0"/>
    <w:rPr>
      <w:rFonts w:ascii="Calibri" w:hAnsi="Calibri" w:eastAsia="宋体" w:cs="Times New Roman"/>
      <w:kern w:val="2"/>
      <w:sz w:val="18"/>
      <w:szCs w:val="18"/>
    </w:rPr>
  </w:style>
  <w:style w:type="character" w:customStyle="1" w:styleId="13">
    <w:name w:val="页脚 字符"/>
    <w:basedOn w:val="9"/>
    <w:link w:val="5"/>
    <w:qFormat/>
    <w:uiPriority w:val="0"/>
    <w:rPr>
      <w:rFonts w:ascii="Calibri" w:hAnsi="Calibri" w:eastAsia="宋体" w:cs="Times New Roman"/>
      <w:kern w:val="2"/>
      <w:sz w:val="18"/>
      <w:szCs w:val="18"/>
    </w:rPr>
  </w:style>
  <w:style w:type="character" w:customStyle="1" w:styleId="14">
    <w:name w:val="批注框文本 字符"/>
    <w:basedOn w:val="9"/>
    <w:link w:val="4"/>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16</Pages>
  <Words>894</Words>
  <Characters>914</Characters>
  <Lines>194</Lines>
  <Paragraphs>128</Paragraphs>
  <TotalTime>1</TotalTime>
  <ScaleCrop>false</ScaleCrop>
  <LinksUpToDate>false</LinksUpToDate>
  <CharactersWithSpaces>1327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2026-09-18T08:08:00Z</dcterms:created>
  <dc:creator>Administrator</dc:creator>
  <cp:lastModifiedBy>WPS_1647182942</cp:lastModifiedBy>
  <cp:lastPrinted>2019-10-14T01:37:00Z</cp:lastPrinted>
  <dcterms:modified xsi:type="dcterms:W3CDTF">2026-09-26T13:16:13Z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DAC7DE4D920F4AA4A2104F0BCE8F1EF4_13</vt:lpwstr>
  </property>
  <property fmtid="{D5CDD505-2E9C-101B-9397-08002B2CF9AE}" pid="4" name="KSOTemplateDocerSaveRecord">
    <vt:lpwstr>eyJoZGlkIjoiYWJkNjUxOTg5MTgxMDc5MWIwMDQzNTM1OTMxNGUyZWIiLCJ1c2VySWQiOiIxMzQ0NTc2NTYxIn0=</vt:lpwstr>
  </property>
</Properties>
</file>