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  <w:t xml:space="preserve">for(String a : args) est la boucle foreach en Java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champs, méthodes et classes /interfaces internes sont appelés membres</w:t>
      </w:r>
    </w:p>
    <w:p w:rsidR="00000000" w:rsidDel="00000000" w:rsidP="00000000" w:rsidRDefault="00000000" w:rsidRPr="00000000" w14:paraId="00000003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  <w:t xml:space="preserve">Un membre </w:t>
      </w: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est partagé par tous les objets de la classe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Pour un static (methode ou champs), pas besoin d’un objet pour accéder : il suffit de NomClasse.nomMembre ou NomClasse.nomMethode.</w:t>
      </w:r>
    </w:p>
    <w:p w:rsidR="00000000" w:rsidDel="00000000" w:rsidP="00000000" w:rsidRDefault="00000000" w:rsidRPr="00000000" w14:paraId="00000005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  <w:t xml:space="preserve">Une méthode static peut accéder uniquement à des membres static de sa classe, et n’a pas d’accès à this.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this() pour appeler un constructeur dans un autre constructeur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contrôle d’accès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private (visible uniquement par la classe)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public (visible par tout le monde) pas de modificateur (package) (visible uniquement par les classes du même package)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protected (visible uniquement par les classes du même package et par les sous-classes)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Toute modification de la référence p par q.distance n’affecte pas le main (si p = null)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Toute modification de l’objet référencé par p faite par q.distance affecte le main (puisqu’il partage l’objet)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Toute modification des paramètres par p.deplace n’affecte pas les variables du main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Surcharge </w:t>
      </w:r>
      <w:r w:rsidDel="00000000" w:rsidR="00000000" w:rsidRPr="00000000">
        <w:rPr>
          <w:rtl w:val="0"/>
        </w:rPr>
        <w:t xml:space="preserve">(overloading) : dans une même classe signatures différentes pour un même nom de fonction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Ambiguity </w:t>
      </w:r>
      <w:r w:rsidDel="00000000" w:rsidR="00000000" w:rsidRPr="00000000">
        <w:rPr>
          <w:rtl w:val="0"/>
        </w:rPr>
        <w:t xml:space="preserve">{ void g ( int i, double d) {… } void g (double d, int i) {… }} deux méthodes sont compatibles avec l’appel même si leurs signatures ont l’air diff. Ça produit une erreur de compilation.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Les méthodes d’accès retournent normalement une copie des objets mutables. Ce qui fait que des données protected / private restent protégées.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Héritage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Un champ avec le même nom d’un champ de la super-classe cache ce dernier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Les constructeurs dans les sous classes sont plus détaillés que dans les classes mères.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Pour initialiser les champs hérités il est souvent nécessaire d’invoquer le constructeur de la classe parent : super (…)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super(…) doit être la première instruction du constructeur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super() et this() ne peuvent pas être invoqués dans un même constructeur.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 aucun des deux n’est invoqué, un appel super() (sans arguments) est implicite.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pour qu’il y ait redéfinition d’une méthode, la méthode redéfinie dans la sousclasse doit avoir la même signature (nom de méthode et types des paramètres) que la méthode de la classe parent à redéfinir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polymorphisme </w:t>
      </w:r>
      <w:r w:rsidDel="00000000" w:rsidR="00000000" w:rsidRPr="00000000">
        <w:rPr>
          <w:rtl w:val="0"/>
        </w:rPr>
        <w:t xml:space="preserve">: une même variable peut référencer des objets de plusieurs types différents pendant sa vie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Donc un objet d’une sous-classe peut être affecté à une variable d’une super-classe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CompteCredit cc = new CompteCredit(“AG675”, 0, 200);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CompteBancaire cb = new CompteBancaire(“234BD”, 0);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cb = cc; //et pas viceversa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Un objet a un type déclaré (type de la déclaration, associé au nom de la variable, ne change jamais) et un type effectif (classe avec laquelle l’objet référencé a été construit, peut changer dynamiquement, peut être testé dynamiquement).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&gt; Un objet de type effectif C peut être référencé par une variable de type déclaré D pour tout type D de plus haut niveau dans la hiérarchie d’héritage.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&gt; Seuls les champs et méthodes (visibles) de la classe C sont accessibles sur un objet de type </w:t>
      </w:r>
      <w:r w:rsidDel="00000000" w:rsidR="00000000" w:rsidRPr="00000000">
        <w:rPr>
          <w:i w:val="1"/>
          <w:rtl w:val="0"/>
        </w:rPr>
        <w:t xml:space="preserve">déclaré </w:t>
      </w: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type déclaré détermine quelles méthodes on peut invoquer → fait statiquement (en phase de compilation)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type effectif détermine quelle définition est à utiliser pour ces méthodes → fait dynamiquement (en phase d’exécution)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&gt; Le dynamic binding ne s’applique pas au variables! Le lien entre le nom d’une variable et sa définition a lieu à la compilation (static binding). Toutes les valeurs (même celles renvoyées par des getters) sont fixées à la compilation.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Transtypage et forcer un type, on vérifie que le type est ok avec instanceof() 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if (cb instanceof CompteCredit) { cc = (CompteCredit) cb;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Upcasting : Conversion vers un type de plus haut niveau dans la hiérarchie, toujours sûr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Downcasting : Sûr uniquement s’il ne dépasse pas le type effectif.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Toutefois, comme toute autre classe, la sous-classe 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■ n’a pas accès aux membres private de la super-classe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Les membres protected sont visibles uniquement par les sous classes et par les classes du même package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■ a accès aux membres avec visibilité package uniquement si elle se trouve dans le même package que la super-classe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■ a accès aux membres protected et public de la super-classe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□ Le contrôle d’accès est vérifié à la compilation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Quand un constructeur est invoqué, l’objet est déjà crée et ses champs initialisés aux valeurs par défaut (0, null, false)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Une interface est une collection de signatures de méthodes. Elle pt contenir des champs constants et des classes internes, mais pas des variables d’instance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une sous-classe peut hériter d’une seule autre classe, alors qu’elle peut implémenter plusieurs interfaces.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N’importe quelle classe (même sous-classe) peut être étiquetée NomDInterface à condition qu’elle définisse NomDInterface. Cela ne serait pas possible si NomDInterface était une classe abstraite.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Si A et I possèdent une méthode avec la même signature B hérite la méthode de la classe mère A, une éventuelle définition de la même signature dans I est ignorée.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Membres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Classes membres = membres (possiblement statiques) d'une autre classe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Classes locales = classes définies dans un bloc de code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Classes membre non-static</w:t>
      </w:r>
      <w:r w:rsidDel="00000000" w:rsidR="00000000" w:rsidRPr="00000000">
        <w:rPr>
          <w:rtl w:val="0"/>
        </w:rPr>
        <w:t xml:space="preserve"> : Définir des classes qui ont du sens uniquement en relation à la classe englobante. Si elles sont private, seule la classe englobante y a accès.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Dans la classe interne la référence implicite à l’objet de classe englobante est NomClasseEnglobante.this, mais elle peut être omise en général (sauf si occultée)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Une classe fille d’une classe membre (bien que interne à la même classe englobante) maintient les règles habituelles de visibilité des champs hérités. CaD qu’elle ne verra pas un champ de la classe englobante de sa classe mère.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Classe membre statique</w:t>
      </w:r>
      <w:r w:rsidDel="00000000" w:rsidR="00000000" w:rsidRPr="00000000">
        <w:rPr>
          <w:rtl w:val="0"/>
        </w:rPr>
        <w:t xml:space="preserve"> d'une autre classe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pas d’accès à NomClasseEnglobante.this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Expressions lambda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Bloc de code, précédé par la liste de tous les paramètres utilisés dans ce code 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Ex 1 : (int k)</w:t>
      </w:r>
      <w:r w:rsidDel="00000000" w:rsidR="00000000" w:rsidRPr="00000000">
        <w:rPr>
          <w:b w:val="1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{ for (int i = k; i &gt;= 0; i--) System.out.println(i);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Ex 2 : (String first, String second)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first.length() - second.length()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Les interfaces possédant une seule méthode abstraite sont appelées fonctionnelles 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■ Comparator avec méthode int compare(T o1, T o2); censée renvoyer &gt;0,0,&lt;0 si o1o2, resp. ■ ActionListener avec méthode void actionPerformed(ActionEvent e) invoquée quand un événement a lieu (e est l’événement à traiter) ■ Function avec méthode R apply (T t) censé implémenter une fonction arbitraire à un seul paramètre ■ Predicate avec méthode boolean test(T t) censée implémenter une fonction booléenne arbitraire à un seul paramètre ■ IntConsumer avec méthode void accept(int i) ■ IntSupplier avec méthode int getAsInt()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Une expression Lambda peut être affectée à une variable de type interface fonctionnelle;  </w:t>
      </w:r>
      <w:r w:rsidDel="00000000" w:rsidR="00000000" w:rsidRPr="00000000">
        <w:rPr>
          <w:i w:val="1"/>
          <w:rtl w:val="0"/>
        </w:rPr>
        <w:t xml:space="preserve">l’expression lambda fournit alors une définition pour la méthode abstraite de l’interface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Comparator c = (first, second) -&gt; first.length() - second.length();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Ensuite c.compare (“abc”, “a”);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Predicate positif = (Point p) -&gt; p.getX() &gt; 0 &amp;&amp; p.getY() &gt; 0;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Ensuite positif.test (new Point(2,3)) renvoie true et positif.test (new Point(-1,2)) renvoie faux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try { } bloc qui pt soulever l’exception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catch (Type exception e) { //exécuté uniquement si le bloc try soulève // une exception de Type exception e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Remarque : si un exception d’un type incompatible avec est soulevée pendant l’exécution du bloc try, la méthode termine en état d’erreur avant de compléter le bloc try et soulève l’exception non-capturée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Checked : Classes qui dérivent de Exception, mais pas de RuntimeException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Unchecked : Classes qui dérivent de RuntimeException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Toute méthode qui peut soulever une exception checked doit le déclarer : public void fullRead(String filename) throws FileNotFoundException {}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Remarque : throws pas nécessaire pour les exceptions unchecked (toute instruction peut en soulever une…)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On peut capturer plusieurs exceptions dans le même bloc : il y a plusieurs blocs catch à la suite. bloc catch exécuté : le premier dont le type est compatible avec celui de l’exception soulevée dans le bloc try.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Généricité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À la declaration de T on peut ajouter des “bornes” pour limiter les types acceptés comme valeur de T. public class A &lt;T extends Figure&gt; T borné par la classe Figure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Tout type variable est implicitement borné : &lt;T&gt; equivalent à &lt;T extends Object&gt;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À l’intérieur de la classe / méthode qui déclare un type borné &lt;T extends C&gt; , les méthodes de C peuvent être utilisés sur les objets de type 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Wildcard : Mais usages différents : □ ? à utiliser quand aucun autre type dépend du type anonyme □ Exemple : dans printList on n’a pas besoin de faire référence à T (pour afficher les éléments on peut les traiter comme des Object)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spacing w:after="80" w:before="360" w:line="240" w:lineRule="auto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Problèmes liés à la généricité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■ Types dynamiques identiques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C&lt;A&gt; == C&lt;B&gt; pour getClass et instanceof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■ Instanciation impossible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E() → (E) new Object() → ERREUR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=&gt; Workaround : @FunctionalInterface public interface Supplier&lt;T&gt; {T get ();}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dans C&lt;E&gt; : methode (Supplier&lt;E&gt; supplier) {E nouveauE = supplier.get();}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Ensuite : C&lt;Type&gt; objet; objet.methode(Type::new); …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■ Tableaux impossibles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&lt;E&gt; … E[] → ERREUR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=&gt; utiliser ArrayList&lt;E&gt; ou Object[]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■ Tableau d’elements de type générique impossible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ArrayList&lt;String&gt;[]; → ERREUR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=&gt; sauf exception : &lt;?&gt;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■ Référence qu type variable impossible dans un contexte static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 après effacement il y a une classe raw, il n’y a qu’une version des champs statiques → pas de ref à ce type dans une méthode ou champ statique de la classe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=&gt; excéption : les méthodes génériques, qui peuvent en revanche être statiques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■ Overriding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C’est la signature après effacement qui compte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■ Héritage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On peut hériter d’une instance d’une classe (ou interface) générique (class D&lt;T&gt; extends C&lt;String&gt;)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=&gt; Le compilateur implémente ce genre d’héritage de façon à garantir l’overriding des méthodes instanciées de la classe mère (introduction de méthodes “bridge”)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■ Unchecked warnings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Si utilisation de raw types bc interaction avec vieux code, warnings unchecked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=&gt; @SuppressWarnings("unchecked")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