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2BC18042" w:rsidR="00EE5C3F" w:rsidRPr="00EE5C3F" w:rsidRDefault="00EF379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39622C22" wp14:editId="0643EB1F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77777777" w:rsidR="00EE5C3F" w:rsidRPr="00C15B90" w:rsidRDefault="00EE5C3F" w:rsidP="00C15B90">
      <w:pPr>
        <w:jc w:val="center"/>
        <w:rPr>
          <w:rFonts w:eastAsia="Times New Roman"/>
          <w:b/>
          <w:bCs/>
          <w:sz w:val="32"/>
          <w:szCs w:val="32"/>
          <w:u w:val="single"/>
        </w:rPr>
      </w:pPr>
      <w:r w:rsidRPr="00C15B90">
        <w:rPr>
          <w:rFonts w:eastAsia="Times New Roman"/>
          <w:b/>
          <w:bCs/>
          <w:sz w:val="32"/>
          <w:szCs w:val="32"/>
        </w:rPr>
        <w:t>ОТЧЕТ О ВЫПОЛНЕНИИ ИНДИВИДУАЛЬНОГО ЗАДАНИЯ №1</w:t>
      </w:r>
    </w:p>
    <w:p w14:paraId="0A758258" w14:textId="08AED956" w:rsidR="00EE5C3F" w:rsidRPr="00EE5C3F" w:rsidRDefault="00EE5C3F" w:rsidP="00C15B90">
      <w:pPr>
        <w:jc w:val="center"/>
        <w:rPr>
          <w:rFonts w:ascii="Segoe UI" w:eastAsia="Times New Roman" w:hAnsi="Segoe UI" w:cs="Segoe UI"/>
          <w:color w:val="1D2125"/>
          <w:sz w:val="48"/>
          <w:szCs w:val="32"/>
        </w:rPr>
      </w:pPr>
      <w:r w:rsidRPr="00C15B90">
        <w:rPr>
          <w:rFonts w:eastAsia="Times New Roman"/>
          <w:b/>
          <w:bCs/>
          <w:sz w:val="32"/>
          <w:szCs w:val="32"/>
        </w:rPr>
        <w:t xml:space="preserve">В РАМКАХ ДИСЦИПЛИНЫ </w:t>
      </w:r>
      <w:bookmarkStart w:id="3" w:name="_Hlk240548723"/>
      <w:r w:rsidR="004A57E9" w:rsidRPr="00C15B90">
        <w:rPr>
          <w:rFonts w:eastAsia="Times New Roman"/>
          <w:b/>
          <w:bCs/>
          <w:sz w:val="32"/>
          <w:szCs w:val="32"/>
        </w:rPr>
        <w:t>«</w:t>
      </w:r>
      <w:r w:rsidR="004A57E9" w:rsidRPr="004A57E9">
        <w:rPr>
          <w:rFonts w:eastAsia="Times New Roman"/>
          <w:b/>
          <w:bCs/>
          <w:sz w:val="32"/>
          <w:szCs w:val="32"/>
        </w:rPr>
        <w:t>МЕТОДЫ ПРОГНОЗНОЙ АНАЛИТИКИ В ЗАДАЧА ИНФОРМАЦИОНОЙ БЕЗОПАСНОСТИ</w:t>
      </w:r>
      <w:r w:rsidR="004A57E9" w:rsidRPr="00EE5C3F">
        <w:rPr>
          <w:rFonts w:eastAsia="Times New Roman"/>
          <w:sz w:val="36"/>
        </w:rPr>
        <w:t>»</w:t>
      </w:r>
      <w:bookmarkEnd w:id="3"/>
    </w:p>
    <w:p w14:paraId="0E92F019" w14:textId="77777777" w:rsidR="00EE5C3F" w:rsidRPr="00EE5C3F" w:rsidRDefault="00EE5C3F" w:rsidP="00EE5C3F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C15B90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2087A9AE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</w:t>
      </w:r>
      <w:r w:rsidR="00381C1C">
        <w:rPr>
          <w:rFonts w:eastAsia="Times New Roman" w:cs="Times New Roman"/>
          <w:bCs/>
          <w:color w:val="000000"/>
          <w:szCs w:val="28"/>
        </w:rPr>
        <w:t>и</w:t>
      </w:r>
      <w:r w:rsidRPr="00EE5C3F">
        <w:rPr>
          <w:rFonts w:eastAsia="Times New Roman" w:cs="Times New Roman"/>
          <w:bCs/>
          <w:color w:val="000000"/>
          <w:szCs w:val="28"/>
        </w:rPr>
        <w:t>:</w:t>
      </w:r>
    </w:p>
    <w:p w14:paraId="63666947" w14:textId="62D502E2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Студент</w:t>
      </w:r>
      <w:r w:rsidR="00381C1C">
        <w:rPr>
          <w:rFonts w:eastAsia="Times New Roman" w:cs="Times New Roman"/>
          <w:bCs/>
          <w:color w:val="000000"/>
          <w:szCs w:val="28"/>
        </w:rPr>
        <w:t>ы</w:t>
      </w:r>
      <w:r w:rsidRPr="00EE5C3F">
        <w:rPr>
          <w:rFonts w:eastAsia="Times New Roman" w:cs="Times New Roman"/>
          <w:bCs/>
          <w:color w:val="000000"/>
          <w:szCs w:val="28"/>
        </w:rPr>
        <w:t xml:space="preserve"> </w:t>
      </w:r>
      <w:r w:rsidR="00A474FE">
        <w:rPr>
          <w:rFonts w:eastAsia="Times New Roman" w:cs="Times New Roman"/>
          <w:bCs/>
          <w:color w:val="000000"/>
          <w:szCs w:val="28"/>
        </w:rPr>
        <w:t>5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7EB2A4BE" w14:textId="5413FA32" w:rsidR="001A34CC" w:rsidRDefault="00EE5C3F" w:rsidP="004A57E9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  <w:r w:rsidR="0072324F">
        <w:rPr>
          <w:rFonts w:eastAsia="Times New Roman" w:cs="Times New Roman"/>
          <w:bCs/>
          <w:color w:val="000000"/>
          <w:szCs w:val="28"/>
        </w:rPr>
        <w:t>, Савченков К.В.</w:t>
      </w:r>
    </w:p>
    <w:p w14:paraId="079568DC" w14:textId="09E46384" w:rsidR="004A57E9" w:rsidRDefault="004A57E9" w:rsidP="004A57E9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</w:p>
    <w:p w14:paraId="2C66FDFE" w14:textId="77777777" w:rsidR="0072324F" w:rsidRDefault="0072324F" w:rsidP="00381C1C">
      <w:pPr>
        <w:pStyle w:val="a9"/>
        <w:spacing w:before="0" w:beforeAutospacing="0" w:after="0" w:afterAutospacing="0" w:line="360" w:lineRule="auto"/>
        <w:jc w:val="both"/>
        <w:rPr>
          <w:rStyle w:val="aa"/>
          <w:sz w:val="28"/>
          <w:szCs w:val="28"/>
        </w:rPr>
        <w:sectPr w:rsidR="0072324F" w:rsidSect="00054AF1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81"/>
        </w:sectPr>
      </w:pPr>
    </w:p>
    <w:p w14:paraId="306AF727" w14:textId="416DCD3A" w:rsidR="00381C1C" w:rsidRDefault="00381C1C" w:rsidP="00381C1C">
      <w:pPr>
        <w:pStyle w:val="a9"/>
        <w:spacing w:before="0" w:beforeAutospacing="0" w:after="0" w:afterAutospacing="0" w:line="360" w:lineRule="auto"/>
        <w:jc w:val="both"/>
        <w:rPr>
          <w:rStyle w:val="aa"/>
          <w:b w:val="0"/>
          <w:bCs w:val="0"/>
          <w:sz w:val="28"/>
          <w:szCs w:val="28"/>
        </w:rPr>
      </w:pPr>
      <w:r w:rsidRPr="00381C1C">
        <w:rPr>
          <w:rStyle w:val="aa"/>
          <w:sz w:val="28"/>
          <w:szCs w:val="28"/>
        </w:rPr>
        <w:lastRenderedPageBreak/>
        <w:t>Тема прогнозного исследования:</w:t>
      </w:r>
      <w:r>
        <w:rPr>
          <w:rStyle w:val="aa"/>
          <w:b w:val="0"/>
          <w:bCs w:val="0"/>
          <w:sz w:val="28"/>
          <w:szCs w:val="28"/>
        </w:rPr>
        <w:t xml:space="preserve"> Количество инцидентов ИБ с получением </w:t>
      </w:r>
      <w:r>
        <w:rPr>
          <w:rStyle w:val="aa"/>
          <w:b w:val="0"/>
          <w:bCs w:val="0"/>
          <w:sz w:val="28"/>
          <w:szCs w:val="28"/>
          <w:lang w:val="en-US"/>
        </w:rPr>
        <w:t>shell</w:t>
      </w:r>
      <w:r w:rsidRPr="00381C1C">
        <w:rPr>
          <w:rStyle w:val="aa"/>
          <w:b w:val="0"/>
          <w:bCs w:val="0"/>
          <w:sz w:val="28"/>
          <w:szCs w:val="28"/>
        </w:rPr>
        <w:t>-</w:t>
      </w:r>
      <w:r>
        <w:rPr>
          <w:rStyle w:val="aa"/>
          <w:b w:val="0"/>
          <w:bCs w:val="0"/>
          <w:sz w:val="28"/>
          <w:szCs w:val="28"/>
        </w:rPr>
        <w:t>доступа к сетевым устройствам медицинских учреждений в США.</w:t>
      </w:r>
    </w:p>
    <w:p w14:paraId="34423A87" w14:textId="6C72D2FF" w:rsidR="00381C1C" w:rsidRDefault="00381C1C" w:rsidP="00381C1C">
      <w:pPr>
        <w:pStyle w:val="a9"/>
        <w:spacing w:before="0" w:beforeAutospacing="0" w:after="0" w:afterAutospacing="0" w:line="360" w:lineRule="auto"/>
        <w:jc w:val="both"/>
        <w:rPr>
          <w:rStyle w:val="aa"/>
          <w:b w:val="0"/>
          <w:bCs w:val="0"/>
          <w:sz w:val="28"/>
          <w:szCs w:val="28"/>
        </w:rPr>
      </w:pPr>
      <w:r>
        <w:rPr>
          <w:rStyle w:val="aa"/>
          <w:b w:val="0"/>
          <w:bCs w:val="0"/>
          <w:sz w:val="28"/>
          <w:szCs w:val="28"/>
        </w:rPr>
        <w:t>Получе</w:t>
      </w:r>
      <w:r w:rsidR="0072324F">
        <w:rPr>
          <w:rStyle w:val="aa"/>
          <w:b w:val="0"/>
          <w:bCs w:val="0"/>
          <w:sz w:val="28"/>
          <w:szCs w:val="28"/>
        </w:rPr>
        <w:t>нные данные:</w:t>
      </w:r>
    </w:p>
    <w:bookmarkStart w:id="4" w:name="_MON_1850227365"/>
    <w:bookmarkEnd w:id="4"/>
    <w:p w14:paraId="6A30CF8E" w14:textId="43AF0B09" w:rsidR="0072324F" w:rsidRDefault="00C32520" w:rsidP="00381C1C">
      <w:pPr>
        <w:pStyle w:val="a9"/>
        <w:spacing w:before="0" w:beforeAutospacing="0" w:after="0" w:afterAutospacing="0" w:line="360" w:lineRule="auto"/>
        <w:jc w:val="both"/>
        <w:rPr>
          <w:rStyle w:val="aa"/>
          <w:b w:val="0"/>
          <w:bCs w:val="0"/>
          <w:sz w:val="28"/>
          <w:szCs w:val="28"/>
        </w:rPr>
      </w:pPr>
      <w:r>
        <w:rPr>
          <w:rStyle w:val="aa"/>
          <w:b w:val="0"/>
          <w:bCs w:val="0"/>
          <w:sz w:val="28"/>
          <w:szCs w:val="28"/>
        </w:rPr>
        <w:object w:dxaOrig="14203" w:dyaOrig="6118" w14:anchorId="4647E5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0.15pt;height:306pt" o:ole="">
            <v:imagedata r:id="rId11" o:title=""/>
          </v:shape>
          <o:OLEObject Type="Embed" ProgID="Excel.Sheet.12" ShapeID="_x0000_i1025" DrawAspect="Content" ObjectID="_1853488315" r:id="rId12"/>
        </w:object>
      </w:r>
    </w:p>
    <w:p w14:paraId="64B946CC" w14:textId="77777777" w:rsidR="000F0A7A" w:rsidRDefault="000F0A7A" w:rsidP="00381C1C">
      <w:pPr>
        <w:pStyle w:val="a9"/>
        <w:spacing w:before="0" w:beforeAutospacing="0" w:after="0" w:afterAutospacing="0" w:line="360" w:lineRule="auto"/>
        <w:jc w:val="both"/>
        <w:rPr>
          <w:rStyle w:val="aa"/>
          <w:b w:val="0"/>
          <w:bCs w:val="0"/>
          <w:sz w:val="28"/>
          <w:szCs w:val="28"/>
        </w:rPr>
      </w:pPr>
    </w:p>
    <w:p w14:paraId="4430DD88" w14:textId="77777777" w:rsidR="000F0A7A" w:rsidRDefault="000F0A7A" w:rsidP="00381C1C">
      <w:pPr>
        <w:pStyle w:val="a9"/>
        <w:spacing w:before="0" w:beforeAutospacing="0" w:after="0" w:afterAutospacing="0" w:line="360" w:lineRule="auto"/>
        <w:jc w:val="both"/>
        <w:rPr>
          <w:rStyle w:val="aa"/>
          <w:b w:val="0"/>
          <w:bCs w:val="0"/>
          <w:sz w:val="28"/>
          <w:szCs w:val="28"/>
        </w:rPr>
      </w:pPr>
    </w:p>
    <w:p w14:paraId="652C39A9" w14:textId="77777777" w:rsidR="000F0A7A" w:rsidRDefault="000F0A7A" w:rsidP="00381C1C">
      <w:pPr>
        <w:pStyle w:val="a9"/>
        <w:spacing w:before="0" w:beforeAutospacing="0" w:after="0" w:afterAutospacing="0" w:line="360" w:lineRule="auto"/>
        <w:jc w:val="both"/>
        <w:rPr>
          <w:rStyle w:val="aa"/>
          <w:b w:val="0"/>
          <w:bCs w:val="0"/>
          <w:sz w:val="28"/>
          <w:szCs w:val="28"/>
        </w:rPr>
      </w:pPr>
    </w:p>
    <w:p w14:paraId="30B5F674" w14:textId="2BC96114" w:rsidR="000F0A7A" w:rsidRDefault="000F0A7A" w:rsidP="00381C1C">
      <w:pPr>
        <w:pStyle w:val="a9"/>
        <w:spacing w:before="0" w:beforeAutospacing="0" w:after="0" w:afterAutospacing="0" w:line="360" w:lineRule="auto"/>
        <w:jc w:val="both"/>
        <w:rPr>
          <w:rStyle w:val="aa"/>
          <w:b w:val="0"/>
          <w:bCs w:val="0"/>
          <w:sz w:val="28"/>
          <w:szCs w:val="28"/>
        </w:rPr>
        <w:sectPr w:rsidR="000F0A7A" w:rsidSect="0072324F">
          <w:pgSz w:w="16838" w:h="11906" w:orient="landscape"/>
          <w:pgMar w:top="1701" w:right="1134" w:bottom="851" w:left="1134" w:header="709" w:footer="709" w:gutter="0"/>
          <w:pgNumType w:start="1"/>
          <w:cols w:space="708"/>
          <w:titlePg/>
          <w:docGrid w:linePitch="381"/>
        </w:sectPr>
      </w:pPr>
      <w:r>
        <w:rPr>
          <w:noProof/>
          <w14:ligatures w14:val="standardContextual"/>
        </w:rPr>
        <w:drawing>
          <wp:inline distT="0" distB="0" distL="0" distR="0" wp14:anchorId="679E1282" wp14:editId="285C199F">
            <wp:extent cx="9251950" cy="3230245"/>
            <wp:effectExtent l="0" t="0" r="6350" b="8255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1304485-A1CD-4BFB-8474-50F6210021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C157AD9" w14:textId="488CC98C" w:rsidR="0072324F" w:rsidRPr="00370F0F" w:rsidRDefault="009C16C3" w:rsidP="00381C1C">
      <w:pPr>
        <w:pStyle w:val="a9"/>
        <w:spacing w:before="0" w:beforeAutospacing="0" w:after="0" w:afterAutospacing="0" w:line="360" w:lineRule="auto"/>
        <w:jc w:val="both"/>
        <w:rPr>
          <w:rStyle w:val="aa"/>
          <w:sz w:val="28"/>
          <w:szCs w:val="28"/>
        </w:rPr>
      </w:pPr>
      <w:r w:rsidRPr="00370F0F">
        <w:rPr>
          <w:rStyle w:val="aa"/>
          <w:sz w:val="28"/>
          <w:szCs w:val="28"/>
        </w:rPr>
        <w:lastRenderedPageBreak/>
        <w:t>Исследования по прогнозной аналитике в выбранной или смежной с выбранной сфере</w:t>
      </w:r>
      <w:r w:rsidR="00370F0F" w:rsidRPr="00370F0F">
        <w:rPr>
          <w:rStyle w:val="aa"/>
          <w:sz w:val="28"/>
          <w:szCs w:val="28"/>
        </w:rPr>
        <w:t>:</w:t>
      </w:r>
    </w:p>
    <w:p w14:paraId="32B9B942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1. В исследовании [1] прогнозируется развитие координированных киберкампаний по характеристикам графа сетевой активности. Сравниваются ARIMA, FARIMA и LSTM; их MAPE составляет 22,6%, 15,3% и 13,8% соответственно.</w:t>
      </w:r>
    </w:p>
    <w:p w14:paraId="4A09976D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2. Авторы [2] прогнозируют число атак, зарегистрированных honeynet-инфраструктурой. Рассматриваются Holt–Winters, SARIMA, ARIMA, GARCH и bootstrap-модели; для общего ряда лучшая ARIMA показывает MAPE 22,0%, а при разбиении по странам — от 20,1% до 27,2%.</w:t>
      </w:r>
    </w:p>
    <w:p w14:paraId="29947246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3. Работа [3] посвящена прогнозированию количества кибератак с помощью LSTM. Для лучшей конфигурации нейронной сети получена MAPE 10,507%.</w:t>
      </w:r>
    </w:p>
    <w:p w14:paraId="32F45F9B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4. В исследовании [4] строятся долгосрочные прогнозы динамики различных типов кибератак с помощью байесовской encoder-decoder LSTM; для сравнения используются обычная LSTM и ARIMA. Среднее значение модифицированной метрики M-SMAPE лучшей модели указано как 0,25, а результаты для отдельных типов атак различаются.</w:t>
      </w:r>
    </w:p>
    <w:p w14:paraId="422F4898" w14:textId="59AD5BA3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5. Авторы [5] прогнозируют энтропию IP-адресов как показатель, связанный с DDoS-активностью. Среди ARIMA, CNN, LSTM, LSTM Encoder, CNN-LSTM, Transformer и CNN-LSTM-Transformer последняя модель показывает наименьшую MAPE: 4,265% для адресов источника и 23,785% для адресов назначения.6. В работе [6] прогноз нормального сетевого трафика используется для выявления аномалий. Модель ARIMA показывает MAPE 1,9%; другие компоненты гибридной системы оцениваются преимущественно метриками классификации.</w:t>
      </w:r>
    </w:p>
    <w:p w14:paraId="5A9AFA2F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7. Исследование [7] посвящено прогнозированию числа опубликованных уязвимостей Windows 7, macOS и Linux Kernel. Сравниваются ARIMA, ANN и SVM; лучший результат получен для Windows 7 с помощью SVM — SMAPE 12,45%.</w:t>
      </w:r>
    </w:p>
    <w:p w14:paraId="7E058CB0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lastRenderedPageBreak/>
        <w:t>8. Авторы [8] прогнозируют ежемесячное число обращений о киберпреступлениях в Перу. MAPE составляет 15,43% для ARIMA, 13,28% для LSTM и 10,73% для оптимизированной гибридной ARIMA-LSTM.</w:t>
      </w:r>
    </w:p>
    <w:p w14:paraId="510C9DEB" w14:textId="4DE1A10E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9. В исследовании [9] прогнозируется обнаружение киберсобытий аналитиками. Сравниваются байесовская модель пространства состояний, AR(1) и AR(3); рассчитанная из опубликованной авторами точности ошибка SMAPE составляет 13,63%, 19,50% и 19,50% соответственно.</w:t>
      </w:r>
      <w:r>
        <w:rPr>
          <w:rStyle w:val="aa"/>
          <w:b w:val="0"/>
          <w:bCs w:val="0"/>
          <w:sz w:val="28"/>
          <w:szCs w:val="28"/>
        </w:rPr>
        <w:t xml:space="preserve"> </w:t>
      </w:r>
      <w:r w:rsidRPr="00370F0F">
        <w:rPr>
          <w:rStyle w:val="aa"/>
          <w:b w:val="0"/>
          <w:bCs w:val="0"/>
          <w:sz w:val="28"/>
          <w:szCs w:val="28"/>
        </w:rPr>
        <w:t>10. В работе [10] прогнозируется число утечек данных в финансовом, медицинском и образовательном секторах. Для финансового сектора MAPE моделей ARIMA, Prophet и LSTM равна 18,9%, 16,3% и 8,2%; для медицинского — 21,4%, 19,0% и 9,8%; для образовательного — 9,1%, 11,4% и 10,5%.</w:t>
      </w:r>
    </w:p>
    <w:p w14:paraId="32DBC70F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11. Авторы [11] прогнозируют число ransomware-инцидентов в Канаде с помощью ETS, STL-ARIMA и STL-ETS. SMAPE выбранных моделей составляет 26,62% для общего ряда и от 33,29% до 82,69% для отдельных отраслей.</w:t>
      </w:r>
    </w:p>
    <w:p w14:paraId="556B4C13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12. В работе [12] прогнозируются характеристики трафика для последующего обнаружения DDoS. MAPE составляет 13,97% для объёма байтов, 18,04% для числа пакетов, 9,41% для энтропии адресов источника и 10,20% для энтропии адресов назначения.</w:t>
      </w:r>
    </w:p>
    <w:p w14:paraId="3FF168B7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13. Исследование [13] посвящено прогнозированию интенсивности атак на honeypot-системы с помощью BRNN-LSTM и сравнению с ARIMA. MAPE глубокой модели на разных наборах данных составляет от 1,39% до 26,56%; для сложного ряда rolling-обновление снижает её до 13,39%.</w:t>
      </w:r>
    </w:p>
    <w:p w14:paraId="776BC8BD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14. В работе [14] прогнозируется часовая интенсивность кибератак при наличии экстремальных всплесков. Для gray-box-моделей ошибки на трёх наборах составляют 17,9%, 21,7% и 29,8%, а после учёта экстремальных значений — около 12,1–14,0%.</w:t>
      </w:r>
    </w:p>
    <w:p w14:paraId="25C22EC8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 xml:space="preserve">15. Авторы [15] прогнозируют объём публикаций CVE в National Vulnerability Database на срок до года. Применяя разные алгоритмы для разных </w:t>
      </w:r>
      <w:r w:rsidRPr="00370F0F">
        <w:rPr>
          <w:rStyle w:val="aa"/>
          <w:b w:val="0"/>
          <w:bCs w:val="0"/>
          <w:sz w:val="28"/>
          <w:szCs w:val="28"/>
        </w:rPr>
        <w:lastRenderedPageBreak/>
        <w:t>горизонтов, они сообщают об отклонении прогноза общего количества CVE от фактического значения не более чем на 3%.</w:t>
      </w:r>
    </w:p>
    <w:p w14:paraId="247AAD86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16. В исследовании [16] прогнозируется числовой показатель CVSS программных уязвимостей по их текстовым описаниям. MAPE составляет 16,14% для LSTM, 17,03% для CNN и 18,91% для XGBoost.</w:t>
      </w:r>
    </w:p>
    <w:p w14:paraId="1E6B398C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17. Работа [17] посвящена прогнозированию активности botnet-хостов с помощью глубокой нейронной модели DBoTPM. На десяти IP-адресах получены значения MAPE от 12,30% до 73,98%.</w:t>
      </w:r>
    </w:p>
    <w:p w14:paraId="31BDD871" w14:textId="63EC704C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18. Авторы [18] прогнозируют число утечек медицинских данных. MAPE составляет 264,79% для SARIMA, 151,28% для Auto-ARIMA, 154,07% для ARIMA, 259,13% для авторегрессии, 229,57% для Moving Average, 187,78% для простого экспоненциального сглаживания и 238,78% для Holt–Winters.</w:t>
      </w:r>
    </w:p>
    <w:p w14:paraId="5B2540D0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19. В исследовании [19] прогнозируется плотность графа сетевых взаимодействий для выявления аномалий. MAPE равна 2,086% для ARMA и 2,1476% для ARMA-EGARCH.</w:t>
      </w:r>
    </w:p>
    <w:p w14:paraId="61394FD9" w14:textId="009D0821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20. Работа [20] посвящена многомерному прогнозированию числа атак на распределённые honeypot-узлы. На реальных суточных рядах MAPE глубокой модели составляет 17,56–67,27%; также сравниваются VAR, GRU и RNN.</w:t>
      </w:r>
    </w:p>
    <w:p w14:paraId="6EB92D78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21. В исследовании [21] прогнозируется среднемесячный CVSS по категориям CWE. Рассматриваются ARIMA, ARFIMA, ETS, BATS/TBATS, NNAR, регрессия и базовые модели; MAPE выбранных моделей на тестовом периоде составляет 3,54–26,57%.</w:t>
      </w:r>
    </w:p>
    <w:p w14:paraId="306677E9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22. Авторы [22] прогнозируют нагрузку каналов магистральной сети с помощью DCRNN, LSTM и полносвязной сети. MAPE предложенной DCRNN составляет около 43%, тогда как у одной из базовых моделей она достигает примерно 210%.</w:t>
      </w:r>
    </w:p>
    <w:p w14:paraId="7E53B295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lastRenderedPageBreak/>
        <w:t>23. В исследовании [23] сравниваются ARIMA, SARIMA, SARIMAX и Holt–Winters при прогнозировании реального IP-трафика. После rolling-обновления MAPE составляет 7,71%, 7,34%, 6,83% и 7,59% соответственно.</w:t>
      </w:r>
    </w:p>
    <w:p w14:paraId="7D261905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24. Работа [24] посвящена многошаговому прогнозу интернет-трафика при ограниченном объёме обучающих данных. На горизонте 12 шагов MAPE составляет 6,74% для LSTMSeq2Seq и 6,77% для варианта с attention.</w:t>
      </w:r>
    </w:p>
    <w:p w14:paraId="02E83E35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25. В исследовании [25] прогнозируется IP-трафик на горизонтах от 5 до 60 минут. Сравниваются несколько boosting-моделей и SGD; лучшая одношаговая MAPE составляет 5,08%, а с увеличением горизонта ошибка лучших моделей возрастает примерно до 7,11%.</w:t>
      </w:r>
    </w:p>
    <w:p w14:paraId="01308459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26. Авторы [26] прогнозируют веб-трафик с помощью ARIMA, LSTM и их гибрида. MAPE составляет 15,70%, 35,69% и 7,86% соответственно.</w:t>
      </w:r>
    </w:p>
    <w:p w14:paraId="0AA8A0B9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27. В исследовании [27] прогнозируется почасовое количество задач веб-сервиса Wikimedia. MAPE составляет 2,76% для ATSMNN-LSTM, 3,25% для LSTM, 3,17% для Transformer и 5,36% для ARIMA.</w:t>
      </w:r>
    </w:p>
    <w:p w14:paraId="38AE215B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28. Работа [28] посвящена прогнозированию нагрузки облачных серверов моделью, объединяющей вейвлет-разложение и external attention. Средняя MAPE на трёх наборах данных составляет 3,216%.</w:t>
      </w:r>
    </w:p>
    <w:p w14:paraId="0D7F956F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29. В исследовании [29] прогнозируется спрос на облачные ресурсы по данным Alibaba Cloud Cluster Trace. Сообщаемая MAPE для загрузки CPU составляет менее 5%.</w:t>
      </w:r>
    </w:p>
    <w:p w14:paraId="477E4709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30. Авторы [30] исследуют устойчивость прогноза нагрузки интеллектуальной энергосети к подмене входных данных. Без атаки базовая ANN имеет MAPE 7,6%; для отдельных моделей с состязательным обучением значения составляют приблизительно 9,15–9,78%.</w:t>
      </w:r>
    </w:p>
    <w:p w14:paraId="6330A940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31. В работе [31] сравниваются LoadDynamics LSTM и WGAN-GP Transformer на нагрузках Facebook, Google, Alibaba, Wikimedia и Azure. MAPE Transformer зависит от набора: 8,34–10,58% для Google, 14,67–15,76% для Alibaba и 39,31–42,11% для Facebook.</w:t>
      </w:r>
    </w:p>
    <w:p w14:paraId="313E053F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lastRenderedPageBreak/>
        <w:t>32. Исследование [32] сравнивает Prophet, XGBoost и LSTM при прогнозировании посещаемости сайтов. На месячном горизонте их средняя MAPE составляет 26,40%, 16,03% и 11,85% соответственно.</w:t>
      </w:r>
    </w:p>
    <w:p w14:paraId="6CC0A159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33. В работе [33] Prophet применяется для прогноза нескольких показателей веб-трафика. В зависимости от показателя сообщается MAPE от 2,87% до 8,45%.</w:t>
      </w:r>
    </w:p>
    <w:p w14:paraId="12A0E267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34. Авторы [34] прогнозируют многомерные IoT-ряды методом Embedding Non-Stationary Fuzzy Time Series. Полученная MAPE составляет 2,91%.</w:t>
      </w:r>
    </w:p>
    <w:p w14:paraId="286DBA0B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35. Исследование [35] посвящено прогнозированию использования CPU и памяти в облачной инфраструктуре гибридом LSTM-SARIMA. Для этих двух показателей сообщаются значения MAPE 0,49% и 1,52% соответственно.</w:t>
      </w:r>
    </w:p>
    <w:p w14:paraId="785494F1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36. В работе [36] для прогноза числа преступлений сравниваются ARIMA, Auto-ARIMA, Holt–Winters и Prophet. На годовом горизонте лучшие варианты Holt–Winters и Prophet дают MAPE около 9%.</w:t>
      </w:r>
    </w:p>
    <w:p w14:paraId="1E3D97F6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37. Авторы [37] прогнозируют временные интервалы между преступными событиями. MAPE равна 9,14% для Decision Tree, 8,29% для XGBoost и 9,68% для CatBoost.</w:t>
      </w:r>
    </w:p>
    <w:p w14:paraId="3C7574D1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38. В исследовании [38] предлагается гибрид BiLSTM и экспоненциального сглаживания для прогнозирования преступности. Опубликованные значения MAPE в долях 0,3433–0,3964 соответствуют 34,33–39,64%.</w:t>
      </w:r>
    </w:p>
    <w:p w14:paraId="40D06244" w14:textId="77777777" w:rsidR="00370F0F" w:rsidRPr="00370F0F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>39. Работа [39] сравнивает ARIMA, Holt–Winters, простое экспоненциальное сглаживание и RNN-LSTM при прогнозировании преступлений в Филадельфии. Для суточного ряда MAPE составляет 81,84%, 17,39%, 16,37% и 4,75%; для месячного — 6,90%, 7,20%, 13,28% и 6,03% соответственно.</w:t>
      </w:r>
    </w:p>
    <w:p w14:paraId="0EE3BFBB" w14:textId="3949563E" w:rsidR="00370F0F" w:rsidRPr="00381C1C" w:rsidRDefault="00370F0F" w:rsidP="00370F0F">
      <w:pPr>
        <w:pStyle w:val="a9"/>
        <w:spacing w:before="0" w:beforeAutospacing="0" w:after="0" w:afterAutospacing="0" w:line="360" w:lineRule="auto"/>
        <w:ind w:firstLine="709"/>
        <w:jc w:val="both"/>
        <w:rPr>
          <w:rStyle w:val="aa"/>
          <w:b w:val="0"/>
          <w:bCs w:val="0"/>
          <w:sz w:val="28"/>
          <w:szCs w:val="28"/>
        </w:rPr>
      </w:pPr>
      <w:r w:rsidRPr="00370F0F">
        <w:rPr>
          <w:rStyle w:val="aa"/>
          <w:b w:val="0"/>
          <w:bCs w:val="0"/>
          <w:sz w:val="28"/>
          <w:szCs w:val="28"/>
        </w:rPr>
        <w:t xml:space="preserve">40. Авторы [40] прогнозируют число преступлений в Чикаго и отдельных районах города с помощью пространственной кластеризации и </w:t>
      </w:r>
      <w:r w:rsidRPr="00370F0F">
        <w:rPr>
          <w:rStyle w:val="aa"/>
          <w:b w:val="0"/>
          <w:bCs w:val="0"/>
          <w:sz w:val="28"/>
          <w:szCs w:val="28"/>
        </w:rPr>
        <w:lastRenderedPageBreak/>
        <w:t>авторегрессии. MAPE на горизонте одного года составляет 6,19–11,90%, двух лет — 5,42–9,62%, трёх лет — 6,29–18,66%.</w:t>
      </w:r>
    </w:p>
    <w:p w14:paraId="5B9C73F7" w14:textId="2B53F8C5" w:rsidR="0083337A" w:rsidRPr="0083337A" w:rsidRDefault="00B65AFB" w:rsidP="0083337A">
      <w:pPr>
        <w:rPr>
          <w:rFonts w:eastAsia="Times New Roman"/>
          <w:b/>
          <w:bCs/>
        </w:rPr>
      </w:pPr>
      <w:r w:rsidRPr="00B65AFB">
        <w:rPr>
          <w:rFonts w:eastAsia="Times New Roman"/>
          <w:b/>
          <w:bCs/>
        </w:rPr>
        <w:t>Оценка исследований:</w:t>
      </w:r>
    </w:p>
    <w:p w14:paraId="1E32ED91" w14:textId="42C9CB76" w:rsidR="0083337A" w:rsidRPr="0083337A" w:rsidRDefault="0083337A" w:rsidP="0083337A">
      <w:pPr>
        <w:rPr>
          <w:rFonts w:eastAsia="Times New Roman"/>
        </w:rPr>
      </w:pPr>
      <w:r w:rsidRPr="0083337A">
        <w:rPr>
          <w:rFonts w:eastAsia="Times New Roman"/>
        </w:rPr>
        <w:t xml:space="preserve">Проведённый обзор показывает, что наиболее эффективными при прогнозировании количества киберинцидентов оказываются гибридные модели, объединяющие статистические методы и </w:t>
      </w:r>
      <w:r>
        <w:rPr>
          <w:rFonts w:eastAsia="Times New Roman"/>
        </w:rPr>
        <w:t>рекуррентные нейронные сети</w:t>
      </w:r>
      <w:r w:rsidRPr="0083337A">
        <w:rPr>
          <w:rFonts w:eastAsia="Times New Roman"/>
        </w:rPr>
        <w:t xml:space="preserve">. В частности, сочетание </w:t>
      </w:r>
      <w:r>
        <w:rPr>
          <w:rFonts w:eastAsia="Times New Roman"/>
        </w:rPr>
        <w:t xml:space="preserve">методики </w:t>
      </w:r>
      <w:r w:rsidRPr="0083337A">
        <w:rPr>
          <w:rFonts w:eastAsia="Times New Roman"/>
        </w:rPr>
        <w:t xml:space="preserve">ARIMA и </w:t>
      </w:r>
      <w:r>
        <w:rPr>
          <w:rFonts w:eastAsia="Times New Roman"/>
          <w:lang w:val="en-US"/>
        </w:rPr>
        <w:t>RNN</w:t>
      </w:r>
      <w:r w:rsidRPr="0083337A">
        <w:rPr>
          <w:rFonts w:eastAsia="Times New Roman"/>
        </w:rPr>
        <w:t xml:space="preserve"> </w:t>
      </w:r>
      <w:r>
        <w:rPr>
          <w:rFonts w:eastAsia="Times New Roman"/>
        </w:rPr>
        <w:t xml:space="preserve">с архитектурой </w:t>
      </w:r>
      <w:r w:rsidRPr="0083337A">
        <w:rPr>
          <w:rFonts w:eastAsia="Times New Roman"/>
        </w:rPr>
        <w:t>LSTM позволило снизить</w:t>
      </w:r>
      <w:r>
        <w:rPr>
          <w:rFonts w:eastAsia="Times New Roman"/>
        </w:rPr>
        <w:t xml:space="preserve"> абсолютную ошибку прогноза (</w:t>
      </w:r>
      <w:r>
        <w:rPr>
          <w:rFonts w:eastAsia="Times New Roman"/>
          <w:lang w:val="en-US"/>
        </w:rPr>
        <w:t>MAPE</w:t>
      </w:r>
      <w:r w:rsidRPr="0083337A">
        <w:rPr>
          <w:rFonts w:eastAsia="Times New Roman"/>
        </w:rPr>
        <w:t xml:space="preserve">) киберпреступлений до 10,73%, тогда </w:t>
      </w:r>
      <w:r>
        <w:rPr>
          <w:rFonts w:eastAsia="Times New Roman"/>
        </w:rPr>
        <w:t>раздельное использование данных</w:t>
      </w:r>
      <w:r w:rsidRPr="0083337A">
        <w:rPr>
          <w:rFonts w:eastAsia="Times New Roman"/>
        </w:rPr>
        <w:t xml:space="preserve"> ARIMA и LSTM показали ошибки 15,43% и 13,28% соответственно. Высокую эффективность также продемонстрировали LSTM-модели: при прогнозировании количества кибератак была получена MAPE 10,507%, а в исследовании отраслевых утечек данных ошибка LSTM находилась в диапазоне 8,2–10,5%. Для рядов с выраженной сезонностью и относительно стабильной динамикой хорошие результаты показывают SARIMA, SARIMAX и Holt–Winters, особенно если модель регулярно обновляется по мере появления новых наблюдений.</w:t>
      </w:r>
    </w:p>
    <w:p w14:paraId="38C8E7B5" w14:textId="6D4AF058" w:rsidR="0083337A" w:rsidRPr="0083337A" w:rsidRDefault="0083337A" w:rsidP="0083337A">
      <w:pPr>
        <w:rPr>
          <w:rFonts w:eastAsia="Times New Roman"/>
        </w:rPr>
      </w:pPr>
      <w:r w:rsidRPr="0083337A">
        <w:rPr>
          <w:rFonts w:eastAsia="Times New Roman"/>
        </w:rPr>
        <w:t>Для прогнозирования недельного количества медицинских киберинцидентов целесообразно в первую очередь проверить SARIMA, Prophet, LSTM и гибрид ARIMA-LSTM, обязательно сравнив их с простыми базовыми моделями: наивной моделью последнего значения (Naive) и сезонной наивной моделью (Seasonal Naive), а также, при необходимости, моделью скользящего среднего. SARIMA может оказаться наиболее устойчивой при наличии годовой или квартальной сезонности, а Prophet удобен при структурных изменениях и пропущенных наблюдениях, хотя в рассмотренных исследованиях он обычно уступал LSTM по точности</w:t>
      </w:r>
      <w:r>
        <w:rPr>
          <w:rFonts w:eastAsia="Times New Roman"/>
        </w:rPr>
        <w:t xml:space="preserve">. </w:t>
      </w:r>
      <w:r w:rsidRPr="0083337A">
        <w:rPr>
          <w:rFonts w:eastAsia="Times New Roman"/>
        </w:rPr>
        <w:t>LSTM и другие глубокие модели способны лучше воспроизводить нелинейные изменения и резкие всплески, однако их применение оправдано только при достаточной длине временного ряда и строгом разделении данных по времени.</w:t>
      </w:r>
    </w:p>
    <w:p w14:paraId="595955B1" w14:textId="77777777" w:rsidR="0083337A" w:rsidRDefault="0083337A" w:rsidP="0083337A">
      <w:pPr>
        <w:rPr>
          <w:rFonts w:eastAsia="Times New Roman"/>
        </w:rPr>
      </w:pPr>
      <w:r w:rsidRPr="0083337A">
        <w:rPr>
          <w:rFonts w:eastAsia="Times New Roman"/>
        </w:rPr>
        <w:lastRenderedPageBreak/>
        <w:t>Обычную ARIMA без сезонной составляющей не следует использовать как единственную модель, поскольку большинство рядов киберинцидентов имеют сезонность, изменение среднего уровня и нерегулярные всплески. Также нежелательно применять простое экспоненциальное сглаживание, обычную Moving Average и неизменяемую na</w:t>
      </w:r>
      <w:r>
        <w:rPr>
          <w:rFonts w:eastAsia="Times New Roman"/>
          <w:lang w:val="en-US"/>
        </w:rPr>
        <w:t>i</w:t>
      </w:r>
      <w:r w:rsidRPr="0083337A">
        <w:rPr>
          <w:rFonts w:eastAsia="Times New Roman"/>
        </w:rPr>
        <w:t>ve-модель в качестве основных методов: в исследованиях утечек данных их MAPE в отдельных случаях превышала 180–250%. При этом seasonal-na</w:t>
      </w:r>
      <w:r>
        <w:rPr>
          <w:rFonts w:eastAsia="Times New Roman"/>
          <w:lang w:val="en-US"/>
        </w:rPr>
        <w:t>i</w:t>
      </w:r>
      <w:r w:rsidRPr="0083337A">
        <w:rPr>
          <w:rFonts w:eastAsia="Times New Roman"/>
        </w:rPr>
        <w:t>ve следует сохранить как контрольную модель, поскольку более сложный метод имеет практический смысл только тогда, когда стабильно превосходит этот базовый прогноз.</w:t>
      </w:r>
    </w:p>
    <w:p w14:paraId="45170F7B" w14:textId="6D98863A" w:rsidR="00B65AFB" w:rsidRDefault="0083337A" w:rsidP="0083337A">
      <w:pPr>
        <w:rPr>
          <w:rFonts w:eastAsia="Times New Roman"/>
        </w:rPr>
      </w:pPr>
      <w:r w:rsidRPr="0083337A">
        <w:rPr>
          <w:rFonts w:eastAsia="Times New Roman"/>
        </w:rPr>
        <w:t xml:space="preserve">Окончательный выбор </w:t>
      </w:r>
      <w:r>
        <w:rPr>
          <w:rFonts w:eastAsia="Times New Roman"/>
        </w:rPr>
        <w:t xml:space="preserve">моделей прогнозирования будет осуществляться </w:t>
      </w:r>
      <w:r w:rsidRPr="0083337A">
        <w:rPr>
          <w:rFonts w:eastAsia="Times New Roman"/>
        </w:rPr>
        <w:t>по результатам rolling-origin validation, используя одновременно MAE или WMAE и SMAPE, поскольку стандартная MAPE становится нестабильной в неделях с нулевым или очень небольшим числом инцидентов. С учётом особенностей рассматриваемых данных наиболее перспективной последовательностью является сравнение seasonal-na</w:t>
      </w:r>
      <w:r w:rsidR="00A131A0">
        <w:rPr>
          <w:rFonts w:eastAsia="Times New Roman"/>
          <w:lang w:val="en-US"/>
        </w:rPr>
        <w:t>i</w:t>
      </w:r>
      <w:r w:rsidRPr="0083337A">
        <w:rPr>
          <w:rFonts w:eastAsia="Times New Roman"/>
        </w:rPr>
        <w:t>ve, SARIMA, Prophet, LSTM и ARIMA-LSTM, при этом основными кандидатами на итоговую модель являются SARIMA и ARIMA-LSTM.</w:t>
      </w:r>
    </w:p>
    <w:p w14:paraId="0F625430" w14:textId="77777777" w:rsidR="00DD13D3" w:rsidRDefault="00DD13D3" w:rsidP="00DD13D3">
      <w:pPr>
        <w:spacing w:after="0"/>
        <w:ind w:firstLine="0"/>
        <w:jc w:val="center"/>
        <w:rPr>
          <w:rFonts w:eastAsia="Times New Roman"/>
        </w:rPr>
      </w:pPr>
    </w:p>
    <w:p w14:paraId="69F01775" w14:textId="4A446551" w:rsidR="00370F0F" w:rsidRDefault="00370F0F" w:rsidP="00DD13D3">
      <w:pPr>
        <w:spacing w:after="0"/>
        <w:ind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СПИСОК ИСТОЧНИКОВ И ЛИТЕРАТОУРЫ</w:t>
      </w:r>
    </w:p>
    <w:p w14:paraId="3CEFB0E3" w14:textId="77777777" w:rsidR="00DD13D3" w:rsidRDefault="00DD13D3" w:rsidP="00DD13D3">
      <w:pPr>
        <w:spacing w:after="0"/>
        <w:ind w:firstLine="0"/>
        <w:jc w:val="center"/>
        <w:rPr>
          <w:rFonts w:eastAsia="Times New Roman"/>
          <w:b/>
          <w:bCs/>
        </w:rPr>
      </w:pPr>
    </w:p>
    <w:p w14:paraId="5AFD1E0D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Sehgal R. K., Matam R. CT-EWS: graph-centric early warning for multi-protocol cyber campaigns using long-memory forecasting and explainable attribution.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Frontiers in Computer Science. – 2026. – Vol. 8. – URL: </w:t>
      </w:r>
      <w:hyperlink r:id="rId14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https://doi.org/10.3389/fcomp.2026.1897752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3B76C957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Zuzčák M., Bujok P. Using honeynet data and a time series to predict the number of cyber attacks.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Computer Science and Information Systems. – 2021. – Vol. 18, № 4. – </w:t>
      </w:r>
      <w:r w:rsidRPr="00D64CF3">
        <w:rPr>
          <w:sz w:val="28"/>
          <w:szCs w:val="28"/>
        </w:rPr>
        <w:t>С</w:t>
      </w:r>
      <w:r w:rsidRPr="00D64CF3">
        <w:rPr>
          <w:sz w:val="28"/>
          <w:szCs w:val="28"/>
          <w:lang w:val="en-US"/>
        </w:rPr>
        <w:t xml:space="preserve">. 1197–1217. – URL: </w:t>
      </w:r>
      <w:hyperlink r:id="rId15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https://doiserbia.nb.rs/img/doi/1820-0214/2021/1820-02142100040Z.pdf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5716E8AB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Siswanto J., Sembiring I., Setiawan A., Setyawan I. Number of Cyber Attacks Predicted With Deep Learning Based LSTM Model.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JUITA: Jurnal Informatika. – 2024. – Vol. 12, № 1. – URL: </w:t>
      </w:r>
      <w:hyperlink r:id="rId16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https://jurnalnasional.ump.ac.id/index.php/JUITA/article/view/20210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24E8CEB3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>Almahmoud Z., Yoo P. D., Alhussein O. [</w:t>
      </w:r>
      <w:r w:rsidRPr="00D64CF3">
        <w:rPr>
          <w:sz w:val="28"/>
          <w:szCs w:val="28"/>
        </w:rPr>
        <w:t>и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др</w:t>
      </w:r>
      <w:r w:rsidRPr="00D64CF3">
        <w:rPr>
          <w:sz w:val="28"/>
          <w:szCs w:val="28"/>
          <w:lang w:val="en-US"/>
        </w:rPr>
        <w:t xml:space="preserve">.]. A holistic and proactive approach to forecasting cyber threats.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Scientific Reports. – 2023. – Vol. 13. – Article 8049. – URL: </w:t>
      </w:r>
      <w:hyperlink r:id="rId17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https://doi.org/10.1038/s41598-023-35198-1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124E760F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>Ouhssini M. [</w:t>
      </w:r>
      <w:r w:rsidRPr="00D64CF3">
        <w:rPr>
          <w:sz w:val="28"/>
          <w:szCs w:val="28"/>
        </w:rPr>
        <w:t>и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др</w:t>
      </w:r>
      <w:r w:rsidRPr="00D64CF3">
        <w:rPr>
          <w:sz w:val="28"/>
          <w:szCs w:val="28"/>
          <w:lang w:val="en-US"/>
        </w:rPr>
        <w:t xml:space="preserve">.]. DeepDefend: A comprehensive framework for DDoS attack detection and prevention in cloud computing.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Journal of King Saud University – Computer and Information Sciences. – 2024. – Vol. 36. – Article 101938. – URL: </w:t>
      </w:r>
      <w:hyperlink r:id="rId18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https://doi.org/10.1016/j.jksuci.2024.101938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6713C66F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Hybrid machine learning model for network traffic anomaly detection using time-series forecasting.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Journal of Information and Optimization Sciences. – 2025. – Vol. 46. – </w:t>
      </w:r>
      <w:r w:rsidRPr="00D64CF3">
        <w:rPr>
          <w:sz w:val="28"/>
          <w:szCs w:val="28"/>
        </w:rPr>
        <w:t>С</w:t>
      </w:r>
      <w:r w:rsidRPr="00D64CF3">
        <w:rPr>
          <w:sz w:val="28"/>
          <w:szCs w:val="28"/>
          <w:lang w:val="en-US"/>
        </w:rPr>
        <w:t xml:space="preserve">. 1881–1890. – URL: </w:t>
      </w:r>
      <w:hyperlink r:id="rId19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https://tarupublication.s3.ap-south-1.amazonaws.com/articles/jios-2017.pdf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7CB077DF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Cybersecurity: Time Series Predictive Modeling of Vulnerabilities of Desktop Operating Systems Using Linear and Non-Linear Approach.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Journal of Information Security. – 2017. – Vol. 8, № 4. – URL: </w:t>
      </w:r>
      <w:hyperlink r:id="rId20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https://doi.org/10.4236/jis.2017.84023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18F3A744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Morales-Barrenechea M. M., Rodriguez C., Cancho-Rodriguez E. D., Navarro R. R. H. Autoregressive integrated moving average-long short-term memory optimized hybrid model for cybercrime forecasting.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Bulletin of Electrical Engineering and Informatics. – 2025. – Vol. </w:t>
      </w:r>
      <w:r w:rsidRPr="00D64CF3">
        <w:rPr>
          <w:sz w:val="28"/>
          <w:szCs w:val="28"/>
          <w:lang w:val="en-US"/>
        </w:rPr>
        <w:lastRenderedPageBreak/>
        <w:t xml:space="preserve">14, № 5. – URL: </w:t>
      </w:r>
      <w:hyperlink r:id="rId21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https://doi.org/10.11591/eei.v14i5.9769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56649BEA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Malware in the future? Forecasting of analyst detection of cyber events.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Journal of Cybersecurity. – 2018. – Vol. 4, № 1. – Article tyy007. – URL: </w:t>
      </w:r>
      <w:hyperlink r:id="rId22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https://academic.oup.com/cybersecurity/article/4/1/tyy007/5257795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6CBE5365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Nkrumah M. A. Time Series Forecasting of Data Breach Incidents: A Risk Assessment Approach Across Industry Sectors.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International Journal of Advance Research Publication and Reviews. – 2025. – Vol. 2, № 5. – </w:t>
      </w:r>
      <w:r w:rsidRPr="00D64CF3">
        <w:rPr>
          <w:sz w:val="28"/>
          <w:szCs w:val="28"/>
        </w:rPr>
        <w:t>С</w:t>
      </w:r>
      <w:r w:rsidRPr="00D64CF3">
        <w:rPr>
          <w:sz w:val="28"/>
          <w:szCs w:val="28"/>
          <w:lang w:val="en-US"/>
        </w:rPr>
        <w:t xml:space="preserve">. 274–294. – URL: </w:t>
      </w:r>
      <w:hyperlink r:id="rId23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https://ijarpr.com/uploads/V2ISSUE5/IJARPR0613.pdf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5C923F67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Roumani Y., Roumani Y. F. Predicting Ransomware Incidents with Time-Series Modeling.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Journal of Cybersecurity and Privacy. – 2025. – Vol. 5, № 3. – Article 61. – URL: </w:t>
      </w:r>
      <w:hyperlink r:id="rId24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https://doi.org/10.3390/jcp5030061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71973A0B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Platanias P. DDoS Detection Using Time-Series Analysis : master’s thesis. – Leiden : Leiden University, 2016. – 60 p.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. – URL: </w:t>
      </w:r>
      <w:hyperlink r:id="rId25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https://theses.liacs.nl/pdf/PavlosPlatanias.pdf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519A99DA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Fang X., Xu M., Xu S., Zhao P. A deep learning framework for predicting cyber attack rates.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EURASIP Journal on Information Security. – 2019. – Article 5. – URL: </w:t>
      </w:r>
      <w:hyperlink r:id="rId26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https://doi.org/10.1186/s13635-019-0090-6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330D22BA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Zhan Z., Xu M., Xu S. Predicting Cyber Attack Rates with Extreme Values.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IEEE Transactions on Information Forensics and Security. – 2015. – Vol. 10, № 8. – </w:t>
      </w:r>
      <w:r w:rsidRPr="00D64CF3">
        <w:rPr>
          <w:sz w:val="28"/>
          <w:szCs w:val="28"/>
        </w:rPr>
        <w:t>С</w:t>
      </w:r>
      <w:r w:rsidRPr="00D64CF3">
        <w:rPr>
          <w:sz w:val="28"/>
          <w:szCs w:val="28"/>
          <w:lang w:val="en-US"/>
        </w:rPr>
        <w:t xml:space="preserve">. 1666–1677. – URL: </w:t>
      </w:r>
      <w:hyperlink r:id="rId27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https://doi.org/10.1109/TIFS.2015.2422261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19FA0DF1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lastRenderedPageBreak/>
        <w:t xml:space="preserve">Leverett É., Rhode M., Wedgbury A. Vulnerability Forecasting: In Theory and Practice.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arXiv. – 2020. – arXiv:2012.03814. – URL: </w:t>
      </w:r>
      <w:hyperlink r:id="rId28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https://arxiv.org/abs/2012.03814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28F59E42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Sahin S. E., Tosun A. A conceptual replication on predicting the severity of software vulnerabilities.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Proceedings of the 23rd International Conference on Evaluation and Assessment in Software Engineering. – 2019. – </w:t>
      </w:r>
      <w:r w:rsidRPr="00D64CF3">
        <w:rPr>
          <w:sz w:val="28"/>
          <w:szCs w:val="28"/>
        </w:rPr>
        <w:t>С</w:t>
      </w:r>
      <w:r w:rsidRPr="00D64CF3">
        <w:rPr>
          <w:sz w:val="28"/>
          <w:szCs w:val="28"/>
          <w:lang w:val="en-US"/>
        </w:rPr>
        <w:t xml:space="preserve">. 244–250. – URL: </w:t>
      </w:r>
      <w:hyperlink r:id="rId29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https://doi.org/10.1145/3319008.3319033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71C51D4B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Haq M. A. DBoTPM: A Deep Neural Network-Based Botnet Prediction Model.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Electronics. – 2023. – Vol. 12, № 5. – Article 1159. – URL: </w:t>
      </w:r>
      <w:hyperlink r:id="rId30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https://doi.org/10.3390/electronics12051159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3201C5DA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</w:rPr>
        <w:t xml:space="preserve">Mulla S. M. [и др.]. </w:t>
      </w:r>
      <w:r w:rsidRPr="00D64CF3">
        <w:rPr>
          <w:sz w:val="28"/>
          <w:szCs w:val="28"/>
          <w:lang w:val="en-US"/>
        </w:rPr>
        <w:t xml:space="preserve">Predictive Insights Into Healthcare Data Breaches: A Time Series Forecasting Approach.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Nanotechnology Perceptions. – 2024. – Vol. 20, № S14. – URL: </w:t>
      </w:r>
      <w:hyperlink r:id="rId31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https://nano-ntp.com/index.php/nano/article/download/2817/2109/5305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090FFC90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Ghadi D. M., Al-Sarray B. Prediction and Anomaly Detection Framework Using Graph Density Time Series for Cyber Network Data.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International Journal of Computational Methods and Experimental Measurements. – 2026. – Vol. 14, № 3. – </w:t>
      </w:r>
      <w:r w:rsidRPr="00D64CF3">
        <w:rPr>
          <w:sz w:val="28"/>
          <w:szCs w:val="28"/>
        </w:rPr>
        <w:t>С</w:t>
      </w:r>
      <w:r w:rsidRPr="00D64CF3">
        <w:rPr>
          <w:sz w:val="28"/>
          <w:szCs w:val="28"/>
          <w:lang w:val="en-US"/>
        </w:rPr>
        <w:t xml:space="preserve">. 343–358. – URL: </w:t>
      </w:r>
      <w:hyperlink r:id="rId32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https://doi.org/10.56578/ijcmem140301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4558D4EA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Modeling multivariate cyber risks: deep learning dating extreme value theory.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Journal of Applied Statistics. – 2023. – Vol. 50, № 3. – </w:t>
      </w:r>
      <w:r w:rsidRPr="00D64CF3">
        <w:rPr>
          <w:sz w:val="28"/>
          <w:szCs w:val="28"/>
        </w:rPr>
        <w:t>С</w:t>
      </w:r>
      <w:r w:rsidRPr="00D64CF3">
        <w:rPr>
          <w:sz w:val="28"/>
          <w:szCs w:val="28"/>
          <w:lang w:val="en-US"/>
        </w:rPr>
        <w:t xml:space="preserve">. 610–630. – URL: </w:t>
      </w:r>
      <w:hyperlink r:id="rId33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https://pmc.ncbi.nlm.nih.gov/articles/PMC9930783/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7BECDC1D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Räni E. Prediction Model for Tendencies in Cybersecurity : master’s thesis. – Tartu : University of Tartu, 2018.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. – URL: </w:t>
      </w:r>
      <w:hyperlink r:id="rId34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https://dspace.ut.ee/bitstream/10062/66121/1/thesis.pdf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48C52CD6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lastRenderedPageBreak/>
        <w:t xml:space="preserve">Network Traffic Prediction Based on Diffusion Convolutional Recurrent Neural Networks.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IEEE INFOCOM 2019 Workshops. – 2019. – URL: </w:t>
      </w:r>
      <w:hyperlink r:id="rId35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https://doi.org/10.1109/INFCOMW.2019.8845132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4F55E196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Saha S., Haque A., Sidebottom G. An Empirical Study on Internet Traffic Prediction Using Statistical Rolling Model.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arXiv. – 2022. – arXiv:2205.01590. – URL: </w:t>
      </w:r>
      <w:hyperlink r:id="rId36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https://arxiv.org/abs/2205.01590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2CBC1B26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Saha S., Haque A., Sidebottom G. Overcoming data limitations in internet traffic forecasting: LSTM models with transfer learning and wavelet augmentation.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Computer Communications. – 2025. – Vol. 242. – Article 108280. – URL: </w:t>
      </w:r>
      <w:hyperlink r:id="rId37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https://doi.org/10.1016/j.comcom.2025.108280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476A4A9C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Multi-Step Internet Traffic Forecasting Models with Variable Forecast Horizons for Proactive Network Management.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Sensors. – 2024. – Vol. 24, № 6. – Article 1871. – URL: </w:t>
      </w:r>
      <w:hyperlink r:id="rId38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https://doi.org/10.3390/s24061871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53BD194A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Mariappan A. K., Sriram A., Nandhini R. N., Nageswari S. V. Web Traffic Forecasting Using ARIMA and LSTM.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Journal of University of Shanghai for Science and Technology. – 2021. – Vol. 23, № 10. – URL: </w:t>
      </w:r>
      <w:hyperlink r:id="rId39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https://jusst.org/wp-content/uploads/2023/01/Web-Traffic-Forecasting-Using-ARIMA-and-LSTM.pdf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188004D3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Profit-Efficient Elastic Allocation of Cloud Resources Using Two-Stage Adaptive Workload Prediction.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Applied Sciences. – 2025. – Vol. 15, № 5. – Article 2347. – URL: </w:t>
      </w:r>
      <w:hyperlink r:id="rId40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https://www.mdpi.com/2076-3417/15/5/2347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0245DD6F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When wavelet decomposition meets external attention: a lightweight cloud server load prediction model.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Journal of Cloud Computing. – 2024. – URL: </w:t>
      </w:r>
      <w:hyperlink r:id="rId41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https://doi.org/10.1186/s13677-024-00698-6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4D4CA970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lastRenderedPageBreak/>
        <w:t xml:space="preserve">Optimization of cloud resource demand forecasting and investment decisions in the context of digital transformation.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Frontiers in Communications and Networks. – 2025. – URL: </w:t>
      </w:r>
      <w:hyperlink r:id="rId42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https://www.frontiersin.org/journals/communications-and-networks/articles/10.3389/frcmn.2025.1732098/full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110D1DC9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Enabling Cyberattack-Resilient Load Forecasting through Adversarial Machine Learning.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arXiv. – 2020. – arXiv:2001.02289. – URL: </w:t>
      </w:r>
      <w:hyperlink r:id="rId43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https://arxiv.org/abs/2001.02289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3F3C684F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Wasserstein Adversarial Transformer for Cloud Workload Prediction.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Proceedings of the AAAI Conference on Artificial Intelligence. – 2022. – URL: </w:t>
      </w:r>
      <w:hyperlink r:id="rId44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https://ojs.aaai.org/index.php/AAAI/article/download/21509/21258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0B7A72B3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Comparing Prophet, XGBoost, and LSTM Models for Web Traffic Forecasting: Assessing Model Performance Across Various Time Series Forecasting Scenarios.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DiVA Portal. – 2024. – URL: </w:t>
      </w:r>
      <w:hyperlink r:id="rId45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https://www.diva-portal.org/smash/get/diva2%3A1887941/FULLTEXT01.pdf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738EE1E4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Cloud-Driven Web Traffic Forecasting with Facebook Prophet for Accurate Trend Analysis.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Innovations in Intelligent Systems and Advanced Engineering. – 2026. – URL: </w:t>
      </w:r>
      <w:hyperlink r:id="rId46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https://iisae.org/index.php/IISAE/article/view/17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4B7CCFC1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High-dimensional Multivariate Time Series Forecasting in IoT Applications using Embedding Non-stationary Fuzzy Time Series.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arXiv. – 2021. – arXiv:2107.09785. – URL: </w:t>
      </w:r>
      <w:hyperlink r:id="rId47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https://arxiv.org/abs/2107.09785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0E3AF68F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Resource Utilization Prediction in Cloud Computing Using a Hybrid Model.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International Journal of Advanced Computer Science and Applications. – 2021. – Vol. 12, № 4. – URL: </w:t>
      </w:r>
      <w:hyperlink r:id="rId48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https://thesai.org/Downloads/Volume12No4/Paper_47-Resource_Utilization_Prediction.pdf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07117E74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Devarakonda D. S. Time Series Analysis and Forecasting of Crime Data : master’s project. – Sacramento : California State University, 2019.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. – URL: </w:t>
      </w:r>
      <w:hyperlink r:id="rId49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https://scholars.csus.edu/esploro/outputs/graduate/Time-series-analysis-and-forecasting-of/99257831172001671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452CEBF3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Predicting Crime Time Intervals Using Machine Learning Models.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Journal of Information Systems and Informatics. – 2024. – Vol. 6, № 4. – URL: </w:t>
      </w:r>
      <w:hyperlink r:id="rId50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https://doi.org/10.51519/journalisi.v6i4.881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6764B1E0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Butt U. M., Letchmunan S., Hassan F. H., Koh T. W. Hybrid of deep learning and exponential smoothing for enhancing crime forecasting accuracy.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PLOS ONE. – 2022. – Vol. 17, № 9. – Article e0274172. – URL: </w:t>
      </w:r>
      <w:hyperlink r:id="rId51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https://doi.org/10.1371/journal.pone.0274172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1D08CE18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 xml:space="preserve">Employing Deep Learning and Time Series Analysis to Tackle the Accuracy and Robustness of the Forecasting Problem.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Security and Communication Networks. – 2021. – Article 5587511. – URL: </w:t>
      </w:r>
      <w:hyperlink r:id="rId52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https://doi.org/10.1155/2021/5587511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p w14:paraId="75D741E3" w14:textId="77777777" w:rsidR="00370F0F" w:rsidRPr="00D64CF3" w:rsidRDefault="00370F0F" w:rsidP="00370F0F">
      <w:pPr>
        <w:pStyle w:val="a9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D64CF3">
        <w:rPr>
          <w:sz w:val="28"/>
          <w:szCs w:val="28"/>
          <w:lang w:val="en-US"/>
        </w:rPr>
        <w:t>Catlett C., Cesario E., Talia D. [</w:t>
      </w:r>
      <w:r w:rsidRPr="00D64CF3">
        <w:rPr>
          <w:sz w:val="28"/>
          <w:szCs w:val="28"/>
        </w:rPr>
        <w:t>и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др</w:t>
      </w:r>
      <w:r w:rsidRPr="00D64CF3">
        <w:rPr>
          <w:sz w:val="28"/>
          <w:szCs w:val="28"/>
          <w:lang w:val="en-US"/>
        </w:rPr>
        <w:t xml:space="preserve">.]. Spatio-temporal crime predictions in smart cities: A data-driven approach and experiments. – </w:t>
      </w:r>
      <w:r w:rsidRPr="00D64CF3">
        <w:rPr>
          <w:sz w:val="28"/>
          <w:szCs w:val="28"/>
        </w:rPr>
        <w:t>Текст</w:t>
      </w:r>
      <w:r w:rsidRPr="00D64CF3">
        <w:rPr>
          <w:sz w:val="28"/>
          <w:szCs w:val="28"/>
          <w:lang w:val="en-US"/>
        </w:rPr>
        <w:t xml:space="preserve"> : </w:t>
      </w:r>
      <w:r w:rsidRPr="00D64CF3">
        <w:rPr>
          <w:sz w:val="28"/>
          <w:szCs w:val="28"/>
        </w:rPr>
        <w:t>электронный</w:t>
      </w:r>
      <w:r w:rsidRPr="00D64CF3">
        <w:rPr>
          <w:sz w:val="28"/>
          <w:szCs w:val="28"/>
          <w:lang w:val="en-US"/>
        </w:rPr>
        <w:t xml:space="preserve"> // Pervasive and Mobile Computing. – 2019. – Vol. 53. – </w:t>
      </w:r>
      <w:r w:rsidRPr="00D64CF3">
        <w:rPr>
          <w:sz w:val="28"/>
          <w:szCs w:val="28"/>
        </w:rPr>
        <w:t>С</w:t>
      </w:r>
      <w:r w:rsidRPr="00D64CF3">
        <w:rPr>
          <w:sz w:val="28"/>
          <w:szCs w:val="28"/>
          <w:lang w:val="en-US"/>
        </w:rPr>
        <w:t xml:space="preserve">. 62–74. – URL: </w:t>
      </w:r>
      <w:hyperlink r:id="rId53" w:history="1">
        <w:r w:rsidRPr="00D64CF3">
          <w:rPr>
            <w:rStyle w:val="ab"/>
            <w:color w:val="auto"/>
            <w:sz w:val="28"/>
            <w:szCs w:val="28"/>
            <w:u w:val="none"/>
            <w:lang w:val="en-US"/>
          </w:rPr>
          <w:t>https://scalab.dimes.unical.it/papers/pdf/2019-PMC-v2.pdf</w:t>
        </w:r>
      </w:hyperlink>
      <w:r w:rsidRPr="00D64CF3">
        <w:rPr>
          <w:sz w:val="28"/>
          <w:szCs w:val="28"/>
          <w:lang w:val="en-US"/>
        </w:rPr>
        <w:t xml:space="preserve"> (</w:t>
      </w:r>
      <w:r w:rsidRPr="00D64CF3">
        <w:rPr>
          <w:sz w:val="28"/>
          <w:szCs w:val="28"/>
        </w:rPr>
        <w:t>дата</w:t>
      </w:r>
      <w:r w:rsidRPr="00D64CF3">
        <w:rPr>
          <w:sz w:val="28"/>
          <w:szCs w:val="28"/>
          <w:lang w:val="en-US"/>
        </w:rPr>
        <w:t xml:space="preserve"> </w:t>
      </w:r>
      <w:r w:rsidRPr="00D64CF3">
        <w:rPr>
          <w:sz w:val="28"/>
          <w:szCs w:val="28"/>
        </w:rPr>
        <w:t>обращения</w:t>
      </w:r>
      <w:r w:rsidRPr="00D64CF3">
        <w:rPr>
          <w:sz w:val="28"/>
          <w:szCs w:val="28"/>
          <w:lang w:val="en-US"/>
        </w:rPr>
        <w:t>: 17.09.2026).</w:t>
      </w:r>
    </w:p>
    <w:sectPr w:rsidR="00370F0F" w:rsidRPr="00D64CF3" w:rsidSect="009C16C3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CE571" w14:textId="77777777" w:rsidR="00DE4B47" w:rsidRDefault="00DE4B47" w:rsidP="00B25C90">
      <w:pPr>
        <w:spacing w:after="0" w:line="240" w:lineRule="auto"/>
      </w:pPr>
      <w:r>
        <w:separator/>
      </w:r>
    </w:p>
  </w:endnote>
  <w:endnote w:type="continuationSeparator" w:id="0">
    <w:p w14:paraId="10412B09" w14:textId="77777777" w:rsidR="00DE4B47" w:rsidRDefault="00DE4B47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23975D8D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4A57E9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7FE22" w14:textId="77777777" w:rsidR="00DE4B47" w:rsidRDefault="00DE4B47" w:rsidP="00B25C90">
      <w:pPr>
        <w:spacing w:after="0" w:line="240" w:lineRule="auto"/>
      </w:pPr>
      <w:r>
        <w:separator/>
      </w:r>
    </w:p>
  </w:footnote>
  <w:footnote w:type="continuationSeparator" w:id="0">
    <w:p w14:paraId="1F89D038" w14:textId="77777777" w:rsidR="00DE4B47" w:rsidRDefault="00DE4B47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86EEA"/>
    <w:multiLevelType w:val="multilevel"/>
    <w:tmpl w:val="C2560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F2D93"/>
    <w:multiLevelType w:val="multilevel"/>
    <w:tmpl w:val="2A24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214A66"/>
    <w:multiLevelType w:val="multilevel"/>
    <w:tmpl w:val="D83E48F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6658F"/>
    <w:multiLevelType w:val="multilevel"/>
    <w:tmpl w:val="CCFEEB2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3752A"/>
    <w:rsid w:val="00054AF1"/>
    <w:rsid w:val="000F0A7A"/>
    <w:rsid w:val="0016667A"/>
    <w:rsid w:val="0018734B"/>
    <w:rsid w:val="001A34CC"/>
    <w:rsid w:val="001E1337"/>
    <w:rsid w:val="00272060"/>
    <w:rsid w:val="00280822"/>
    <w:rsid w:val="00350A4B"/>
    <w:rsid w:val="00370F0F"/>
    <w:rsid w:val="00381C1C"/>
    <w:rsid w:val="003C610F"/>
    <w:rsid w:val="003E0757"/>
    <w:rsid w:val="004A57E9"/>
    <w:rsid w:val="007007F6"/>
    <w:rsid w:val="0072324F"/>
    <w:rsid w:val="0083337A"/>
    <w:rsid w:val="008A71A5"/>
    <w:rsid w:val="00984AAF"/>
    <w:rsid w:val="009C16C3"/>
    <w:rsid w:val="009D0123"/>
    <w:rsid w:val="009F4632"/>
    <w:rsid w:val="00A131A0"/>
    <w:rsid w:val="00A1696F"/>
    <w:rsid w:val="00A474FE"/>
    <w:rsid w:val="00A663BC"/>
    <w:rsid w:val="00B25C90"/>
    <w:rsid w:val="00B3094E"/>
    <w:rsid w:val="00B65AFB"/>
    <w:rsid w:val="00B908DE"/>
    <w:rsid w:val="00BD7E38"/>
    <w:rsid w:val="00C15B90"/>
    <w:rsid w:val="00C32520"/>
    <w:rsid w:val="00C64759"/>
    <w:rsid w:val="00C93B97"/>
    <w:rsid w:val="00CB1744"/>
    <w:rsid w:val="00CD2CD2"/>
    <w:rsid w:val="00CD71DE"/>
    <w:rsid w:val="00D64CF3"/>
    <w:rsid w:val="00DD13D3"/>
    <w:rsid w:val="00DE4B47"/>
    <w:rsid w:val="00E67F81"/>
    <w:rsid w:val="00E849F7"/>
    <w:rsid w:val="00EE5C3F"/>
    <w:rsid w:val="00EF379F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B908D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a">
    <w:name w:val="Strong"/>
    <w:basedOn w:val="a0"/>
    <w:uiPriority w:val="22"/>
    <w:qFormat/>
    <w:rsid w:val="00B908DE"/>
    <w:rPr>
      <w:b/>
      <w:bCs/>
    </w:rPr>
  </w:style>
  <w:style w:type="character" w:styleId="ab">
    <w:name w:val="Hyperlink"/>
    <w:basedOn w:val="a0"/>
    <w:uiPriority w:val="99"/>
    <w:semiHidden/>
    <w:unhideWhenUsed/>
    <w:rsid w:val="00B908D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908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1.xml"/><Relationship Id="rId18" Type="http://schemas.openxmlformats.org/officeDocument/2006/relationships/hyperlink" Target="https://doi.org/10.1016/j.jksuci.2024.101938" TargetMode="External"/><Relationship Id="rId26" Type="http://schemas.openxmlformats.org/officeDocument/2006/relationships/hyperlink" Target="https://doi.org/10.1186/s13635-019-0090-6" TargetMode="External"/><Relationship Id="rId39" Type="http://schemas.openxmlformats.org/officeDocument/2006/relationships/hyperlink" Target="https://jusst.org/wp-content/uploads/2023/01/Web-Traffic-Forecasting-Using-ARIMA-and-LSTM.pdf" TargetMode="External"/><Relationship Id="rId21" Type="http://schemas.openxmlformats.org/officeDocument/2006/relationships/hyperlink" Target="https://doi.org/10.11591/eei.v14i5.9769" TargetMode="External"/><Relationship Id="rId34" Type="http://schemas.openxmlformats.org/officeDocument/2006/relationships/hyperlink" Target="https://dspace.ut.ee/bitstream/10062/66121/1/thesis.pdf" TargetMode="External"/><Relationship Id="rId42" Type="http://schemas.openxmlformats.org/officeDocument/2006/relationships/hyperlink" Target="https://www.frontiersin.org/journals/communications-and-networks/articles/10.3389/frcmn.2025.1732098/full" TargetMode="External"/><Relationship Id="rId47" Type="http://schemas.openxmlformats.org/officeDocument/2006/relationships/hyperlink" Target="https://arxiv.org/abs/2107.09785" TargetMode="External"/><Relationship Id="rId50" Type="http://schemas.openxmlformats.org/officeDocument/2006/relationships/hyperlink" Target="https://doi.org/10.51519/journalisi.v6i4.881" TargetMode="Externa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jurnalnasional.ump.ac.id/index.php/JUITA/article/view/20210" TargetMode="External"/><Relationship Id="rId29" Type="http://schemas.openxmlformats.org/officeDocument/2006/relationships/hyperlink" Target="https://doi.org/10.1145/3319008.3319033" TargetMode="External"/><Relationship Id="rId11" Type="http://schemas.openxmlformats.org/officeDocument/2006/relationships/image" Target="media/image2.emf"/><Relationship Id="rId24" Type="http://schemas.openxmlformats.org/officeDocument/2006/relationships/hyperlink" Target="https://doi.org/10.3390/jcp5030061" TargetMode="External"/><Relationship Id="rId32" Type="http://schemas.openxmlformats.org/officeDocument/2006/relationships/hyperlink" Target="https://doi.org/10.56578/ijcmem140301" TargetMode="External"/><Relationship Id="rId37" Type="http://schemas.openxmlformats.org/officeDocument/2006/relationships/hyperlink" Target="https://doi.org/10.1016/j.comcom.2025.108280" TargetMode="External"/><Relationship Id="rId40" Type="http://schemas.openxmlformats.org/officeDocument/2006/relationships/hyperlink" Target="https://www.mdpi.com/2076-3417/15/5/2347" TargetMode="External"/><Relationship Id="rId45" Type="http://schemas.openxmlformats.org/officeDocument/2006/relationships/hyperlink" Target="https://www.diva-portal.org/smash/get/diva2%3A1887941/FULLTEXT01.pdf" TargetMode="External"/><Relationship Id="rId53" Type="http://schemas.openxmlformats.org/officeDocument/2006/relationships/hyperlink" Target="https://scalab.dimes.unical.it/papers/pdf/2019-PMC-v2.pdf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19" Type="http://schemas.openxmlformats.org/officeDocument/2006/relationships/hyperlink" Target="https://tarupublication.s3.ap-south-1.amazonaws.com/articles/jios-2017.pdf" TargetMode="External"/><Relationship Id="rId31" Type="http://schemas.openxmlformats.org/officeDocument/2006/relationships/hyperlink" Target="https://nano-ntp.com/index.php/nano/article/download/2817/2109/5305" TargetMode="External"/><Relationship Id="rId44" Type="http://schemas.openxmlformats.org/officeDocument/2006/relationships/hyperlink" Target="https://ojs.aaai.org/index.php/AAAI/article/download/21509/21258" TargetMode="External"/><Relationship Id="rId52" Type="http://schemas.openxmlformats.org/officeDocument/2006/relationships/hyperlink" Target="https://doi.org/10.1155/2021/5587511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oi.org/10.3389/fcomp.2026.1897752" TargetMode="External"/><Relationship Id="rId22" Type="http://schemas.openxmlformats.org/officeDocument/2006/relationships/hyperlink" Target="https://academic.oup.com/cybersecurity/article/4/1/tyy007/5257795" TargetMode="External"/><Relationship Id="rId27" Type="http://schemas.openxmlformats.org/officeDocument/2006/relationships/hyperlink" Target="https://doi.org/10.1109/TIFS.2015.2422261" TargetMode="External"/><Relationship Id="rId30" Type="http://schemas.openxmlformats.org/officeDocument/2006/relationships/hyperlink" Target="https://doi.org/10.3390/electronics12051159" TargetMode="External"/><Relationship Id="rId35" Type="http://schemas.openxmlformats.org/officeDocument/2006/relationships/hyperlink" Target="https://doi.org/10.1109/INFCOMW.2019.8845132" TargetMode="External"/><Relationship Id="rId43" Type="http://schemas.openxmlformats.org/officeDocument/2006/relationships/hyperlink" Target="https://arxiv.org/abs/2001.02289" TargetMode="External"/><Relationship Id="rId48" Type="http://schemas.openxmlformats.org/officeDocument/2006/relationships/hyperlink" Target="https://thesai.org/Downloads/Volume12No4/Paper_47-Resource_Utilization_Prediction.pdf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doi.org/10.1371/journal.pone.0274172" TargetMode="External"/><Relationship Id="rId3" Type="http://schemas.openxmlformats.org/officeDocument/2006/relationships/styles" Target="styles.xml"/><Relationship Id="rId12" Type="http://schemas.openxmlformats.org/officeDocument/2006/relationships/package" Target="embeddings/Microsoft_Excel_Worksheet.xlsx"/><Relationship Id="rId17" Type="http://schemas.openxmlformats.org/officeDocument/2006/relationships/hyperlink" Target="https://doi.org/10.1038/s41598-023-35198-1" TargetMode="External"/><Relationship Id="rId25" Type="http://schemas.openxmlformats.org/officeDocument/2006/relationships/hyperlink" Target="https://theses.liacs.nl/pdf/PavlosPlatanias.pdf" TargetMode="External"/><Relationship Id="rId33" Type="http://schemas.openxmlformats.org/officeDocument/2006/relationships/hyperlink" Target="https://pmc.ncbi.nlm.nih.gov/articles/PMC9930783/" TargetMode="External"/><Relationship Id="rId38" Type="http://schemas.openxmlformats.org/officeDocument/2006/relationships/hyperlink" Target="https://doi.org/10.3390/s24061871" TargetMode="External"/><Relationship Id="rId46" Type="http://schemas.openxmlformats.org/officeDocument/2006/relationships/hyperlink" Target="https://iisae.org/index.php/IISAE/article/view/17" TargetMode="External"/><Relationship Id="rId20" Type="http://schemas.openxmlformats.org/officeDocument/2006/relationships/hyperlink" Target="https://doi.org/10.4236/jis.2017.84023" TargetMode="External"/><Relationship Id="rId41" Type="http://schemas.openxmlformats.org/officeDocument/2006/relationships/hyperlink" Target="https://doi.org/10.1186/s13677-024-00698-6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iserbia.nb.rs/img/doi/1820-0214/2021/1820-02142100040Z.pdf" TargetMode="External"/><Relationship Id="rId23" Type="http://schemas.openxmlformats.org/officeDocument/2006/relationships/hyperlink" Target="https://ijarpr.com/uploads/V2ISSUE5/IJARPR0613.pdf" TargetMode="External"/><Relationship Id="rId28" Type="http://schemas.openxmlformats.org/officeDocument/2006/relationships/hyperlink" Target="https://arxiv.org/abs/2012.03814" TargetMode="External"/><Relationship Id="rId36" Type="http://schemas.openxmlformats.org/officeDocument/2006/relationships/hyperlink" Target="https://arxiv.org/abs/2205.01590" TargetMode="External"/><Relationship Id="rId49" Type="http://schemas.openxmlformats.org/officeDocument/2006/relationships/hyperlink" Target="https://scholars.csus.edu/esploro/outputs/graduate/Time-series-analysis-and-forecasting-of/99257831172001671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niversity\&#1052;&#1077;&#1090;&#1086;&#1076;&#1099;%20&#1087;&#1088;&#1086;&#1075;&#1085;&#1086;&#1079;&#1085;&#1086;&#1081;%20&#1072;&#1085;&#1072;&#1083;&#1080;&#1090;&#1080;&#1082;&#1080;%20&#1074;%20&#1079;&#1072;&#1076;&#1072;&#1095;&#1072;%20&#1080;&#1085;&#1092;&#1086;&#1088;&#1084;&#1072;&#1094;&#1080;&#1086;&#1085;&#1086;&#1081;%20&#1073;&#1077;&#1079;&#1086;&#1087;&#1072;&#1089;&#1085;&#1086;&#1089;&#1090;&#1080;\&#1055;&#1088;&#1072;&#1090;&#1080;&#1082;&#1072;%20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Кол-во получения </a:t>
            </a:r>
            <a:r>
              <a:rPr lang="en-US" sz="1400" b="0" i="0" baseline="0">
                <a:effectLst/>
              </a:rPr>
              <a:t>shell</a:t>
            </a:r>
            <a:r>
              <a:rPr lang="ru-RU" sz="1400" b="0" i="0" baseline="0">
                <a:effectLst/>
              </a:rPr>
              <a:t>-доступа к сетевым устройствам в медицинских учереждениях США  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Лист2!$B$1</c:f>
              <c:strCache>
                <c:ptCount val="1"/>
                <c:pt idx="0">
                  <c:v>Кол-во инцидентов 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showLeaderLines val="0"/>
              </c:ext>
            </c:extLst>
          </c:dLbls>
          <c:cat>
            <c:numRef>
              <c:f>Лист2!$A$2:$A$100</c:f>
              <c:numCache>
                <c:formatCode>yyyy\-mm\-dd</c:formatCode>
                <c:ptCount val="99"/>
                <c:pt idx="0">
                  <c:v>45537</c:v>
                </c:pt>
                <c:pt idx="1">
                  <c:v>45544</c:v>
                </c:pt>
                <c:pt idx="2">
                  <c:v>45551</c:v>
                </c:pt>
                <c:pt idx="3">
                  <c:v>45565</c:v>
                </c:pt>
                <c:pt idx="4">
                  <c:v>45572</c:v>
                </c:pt>
                <c:pt idx="5">
                  <c:v>45579</c:v>
                </c:pt>
                <c:pt idx="6">
                  <c:v>45586</c:v>
                </c:pt>
                <c:pt idx="7">
                  <c:v>45593</c:v>
                </c:pt>
                <c:pt idx="8">
                  <c:v>45600</c:v>
                </c:pt>
                <c:pt idx="9">
                  <c:v>45607</c:v>
                </c:pt>
                <c:pt idx="10">
                  <c:v>45614</c:v>
                </c:pt>
                <c:pt idx="11">
                  <c:v>45621</c:v>
                </c:pt>
                <c:pt idx="12">
                  <c:v>45635</c:v>
                </c:pt>
                <c:pt idx="13">
                  <c:v>45642</c:v>
                </c:pt>
                <c:pt idx="14">
                  <c:v>45649</c:v>
                </c:pt>
                <c:pt idx="15">
                  <c:v>45656</c:v>
                </c:pt>
                <c:pt idx="16">
                  <c:v>45663</c:v>
                </c:pt>
                <c:pt idx="17">
                  <c:v>45670</c:v>
                </c:pt>
                <c:pt idx="18">
                  <c:v>45677</c:v>
                </c:pt>
                <c:pt idx="19">
                  <c:v>45684</c:v>
                </c:pt>
                <c:pt idx="20">
                  <c:v>45691</c:v>
                </c:pt>
                <c:pt idx="21">
                  <c:v>45698</c:v>
                </c:pt>
                <c:pt idx="22">
                  <c:v>45712</c:v>
                </c:pt>
                <c:pt idx="23">
                  <c:v>45719</c:v>
                </c:pt>
                <c:pt idx="24">
                  <c:v>45726</c:v>
                </c:pt>
                <c:pt idx="25">
                  <c:v>45733</c:v>
                </c:pt>
                <c:pt idx="26">
                  <c:v>45740</c:v>
                </c:pt>
                <c:pt idx="27">
                  <c:v>45747</c:v>
                </c:pt>
                <c:pt idx="28">
                  <c:v>45754</c:v>
                </c:pt>
                <c:pt idx="29">
                  <c:v>45761</c:v>
                </c:pt>
                <c:pt idx="30">
                  <c:v>45768</c:v>
                </c:pt>
                <c:pt idx="31">
                  <c:v>45775</c:v>
                </c:pt>
                <c:pt idx="32">
                  <c:v>45782</c:v>
                </c:pt>
                <c:pt idx="33">
                  <c:v>45789</c:v>
                </c:pt>
                <c:pt idx="34">
                  <c:v>45796</c:v>
                </c:pt>
                <c:pt idx="35">
                  <c:v>45803</c:v>
                </c:pt>
                <c:pt idx="36">
                  <c:v>45810</c:v>
                </c:pt>
                <c:pt idx="37">
                  <c:v>45817</c:v>
                </c:pt>
                <c:pt idx="38">
                  <c:v>45824</c:v>
                </c:pt>
                <c:pt idx="39">
                  <c:v>45831</c:v>
                </c:pt>
                <c:pt idx="40">
                  <c:v>45838</c:v>
                </c:pt>
                <c:pt idx="41">
                  <c:v>45845</c:v>
                </c:pt>
                <c:pt idx="42">
                  <c:v>45852</c:v>
                </c:pt>
                <c:pt idx="43">
                  <c:v>45859</c:v>
                </c:pt>
                <c:pt idx="44">
                  <c:v>45866</c:v>
                </c:pt>
                <c:pt idx="45">
                  <c:v>45873</c:v>
                </c:pt>
                <c:pt idx="46">
                  <c:v>45880</c:v>
                </c:pt>
                <c:pt idx="47">
                  <c:v>45887</c:v>
                </c:pt>
                <c:pt idx="48">
                  <c:v>45894</c:v>
                </c:pt>
                <c:pt idx="49">
                  <c:v>45901</c:v>
                </c:pt>
                <c:pt idx="50">
                  <c:v>45908</c:v>
                </c:pt>
                <c:pt idx="51">
                  <c:v>45915</c:v>
                </c:pt>
                <c:pt idx="52">
                  <c:v>45922</c:v>
                </c:pt>
                <c:pt idx="53">
                  <c:v>45929</c:v>
                </c:pt>
                <c:pt idx="54">
                  <c:v>45936</c:v>
                </c:pt>
                <c:pt idx="55">
                  <c:v>45943</c:v>
                </c:pt>
                <c:pt idx="56">
                  <c:v>45950</c:v>
                </c:pt>
                <c:pt idx="57">
                  <c:v>45957</c:v>
                </c:pt>
                <c:pt idx="58">
                  <c:v>45964</c:v>
                </c:pt>
                <c:pt idx="59">
                  <c:v>45971</c:v>
                </c:pt>
                <c:pt idx="60">
                  <c:v>45978</c:v>
                </c:pt>
                <c:pt idx="61">
                  <c:v>45985</c:v>
                </c:pt>
                <c:pt idx="62">
                  <c:v>45992</c:v>
                </c:pt>
                <c:pt idx="63">
                  <c:v>45999</c:v>
                </c:pt>
                <c:pt idx="64">
                  <c:v>46006</c:v>
                </c:pt>
                <c:pt idx="65">
                  <c:v>46013</c:v>
                </c:pt>
                <c:pt idx="66">
                  <c:v>46020</c:v>
                </c:pt>
                <c:pt idx="67">
                  <c:v>46027</c:v>
                </c:pt>
                <c:pt idx="68">
                  <c:v>46034</c:v>
                </c:pt>
                <c:pt idx="69">
                  <c:v>46041</c:v>
                </c:pt>
                <c:pt idx="70">
                  <c:v>46048</c:v>
                </c:pt>
                <c:pt idx="71">
                  <c:v>46055</c:v>
                </c:pt>
                <c:pt idx="72">
                  <c:v>46062</c:v>
                </c:pt>
                <c:pt idx="73">
                  <c:v>46069</c:v>
                </c:pt>
                <c:pt idx="74">
                  <c:v>46076</c:v>
                </c:pt>
                <c:pt idx="75">
                  <c:v>46083</c:v>
                </c:pt>
                <c:pt idx="76">
                  <c:v>46090</c:v>
                </c:pt>
                <c:pt idx="77">
                  <c:v>46097</c:v>
                </c:pt>
                <c:pt idx="78">
                  <c:v>46104</c:v>
                </c:pt>
                <c:pt idx="79">
                  <c:v>46111</c:v>
                </c:pt>
                <c:pt idx="80">
                  <c:v>46118</c:v>
                </c:pt>
                <c:pt idx="81">
                  <c:v>46125</c:v>
                </c:pt>
                <c:pt idx="82">
                  <c:v>46132</c:v>
                </c:pt>
                <c:pt idx="83">
                  <c:v>46139</c:v>
                </c:pt>
                <c:pt idx="84">
                  <c:v>46146</c:v>
                </c:pt>
                <c:pt idx="85">
                  <c:v>46153</c:v>
                </c:pt>
                <c:pt idx="86">
                  <c:v>46160</c:v>
                </c:pt>
                <c:pt idx="87">
                  <c:v>46167</c:v>
                </c:pt>
                <c:pt idx="88">
                  <c:v>46174</c:v>
                </c:pt>
                <c:pt idx="89">
                  <c:v>46181</c:v>
                </c:pt>
                <c:pt idx="90">
                  <c:v>46188</c:v>
                </c:pt>
                <c:pt idx="91">
                  <c:v>46195</c:v>
                </c:pt>
                <c:pt idx="92">
                  <c:v>46202</c:v>
                </c:pt>
                <c:pt idx="93">
                  <c:v>46209</c:v>
                </c:pt>
                <c:pt idx="94">
                  <c:v>46216</c:v>
                </c:pt>
                <c:pt idx="95">
                  <c:v>46223</c:v>
                </c:pt>
                <c:pt idx="96">
                  <c:v>46230</c:v>
                </c:pt>
                <c:pt idx="97">
                  <c:v>46237</c:v>
                </c:pt>
                <c:pt idx="98">
                  <c:v>46244</c:v>
                </c:pt>
              </c:numCache>
            </c:numRef>
          </c:cat>
          <c:val>
            <c:numRef>
              <c:f>Лист2!$B$2:$B$100</c:f>
              <c:numCache>
                <c:formatCode>#,##0</c:formatCode>
                <c:ptCount val="9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1</c:v>
                </c:pt>
                <c:pt idx="4">
                  <c:v>5</c:v>
                </c:pt>
                <c:pt idx="5">
                  <c:v>5</c:v>
                </c:pt>
                <c:pt idx="6">
                  <c:v>2</c:v>
                </c:pt>
                <c:pt idx="7">
                  <c:v>2</c:v>
                </c:pt>
                <c:pt idx="8">
                  <c:v>3</c:v>
                </c:pt>
                <c:pt idx="9">
                  <c:v>5</c:v>
                </c:pt>
                <c:pt idx="10">
                  <c:v>4</c:v>
                </c:pt>
                <c:pt idx="11">
                  <c:v>4</c:v>
                </c:pt>
                <c:pt idx="12">
                  <c:v>2</c:v>
                </c:pt>
                <c:pt idx="13">
                  <c:v>4</c:v>
                </c:pt>
                <c:pt idx="14">
                  <c:v>2</c:v>
                </c:pt>
                <c:pt idx="15">
                  <c:v>5</c:v>
                </c:pt>
                <c:pt idx="16">
                  <c:v>2</c:v>
                </c:pt>
                <c:pt idx="17">
                  <c:v>4</c:v>
                </c:pt>
                <c:pt idx="18">
                  <c:v>3</c:v>
                </c:pt>
                <c:pt idx="19">
                  <c:v>4</c:v>
                </c:pt>
                <c:pt idx="20">
                  <c:v>1</c:v>
                </c:pt>
                <c:pt idx="21">
                  <c:v>7</c:v>
                </c:pt>
                <c:pt idx="22">
                  <c:v>8</c:v>
                </c:pt>
                <c:pt idx="23">
                  <c:v>4</c:v>
                </c:pt>
                <c:pt idx="24">
                  <c:v>4</c:v>
                </c:pt>
                <c:pt idx="25">
                  <c:v>8</c:v>
                </c:pt>
                <c:pt idx="26">
                  <c:v>5</c:v>
                </c:pt>
                <c:pt idx="27">
                  <c:v>8</c:v>
                </c:pt>
                <c:pt idx="28">
                  <c:v>7</c:v>
                </c:pt>
                <c:pt idx="29">
                  <c:v>2</c:v>
                </c:pt>
                <c:pt idx="30">
                  <c:v>7</c:v>
                </c:pt>
                <c:pt idx="31">
                  <c:v>9</c:v>
                </c:pt>
                <c:pt idx="32">
                  <c:v>6</c:v>
                </c:pt>
                <c:pt idx="33">
                  <c:v>8</c:v>
                </c:pt>
                <c:pt idx="34">
                  <c:v>5</c:v>
                </c:pt>
                <c:pt idx="35">
                  <c:v>10</c:v>
                </c:pt>
                <c:pt idx="36">
                  <c:v>8</c:v>
                </c:pt>
                <c:pt idx="37">
                  <c:v>9</c:v>
                </c:pt>
                <c:pt idx="38">
                  <c:v>8</c:v>
                </c:pt>
                <c:pt idx="39">
                  <c:v>7</c:v>
                </c:pt>
                <c:pt idx="40">
                  <c:v>10</c:v>
                </c:pt>
                <c:pt idx="41">
                  <c:v>7</c:v>
                </c:pt>
                <c:pt idx="42">
                  <c:v>4</c:v>
                </c:pt>
                <c:pt idx="43">
                  <c:v>7</c:v>
                </c:pt>
                <c:pt idx="44">
                  <c:v>9</c:v>
                </c:pt>
                <c:pt idx="45">
                  <c:v>8</c:v>
                </c:pt>
                <c:pt idx="46">
                  <c:v>9</c:v>
                </c:pt>
                <c:pt idx="47">
                  <c:v>14</c:v>
                </c:pt>
                <c:pt idx="48">
                  <c:v>9</c:v>
                </c:pt>
                <c:pt idx="49">
                  <c:v>12</c:v>
                </c:pt>
                <c:pt idx="50">
                  <c:v>9</c:v>
                </c:pt>
                <c:pt idx="51">
                  <c:v>11</c:v>
                </c:pt>
                <c:pt idx="52">
                  <c:v>15</c:v>
                </c:pt>
                <c:pt idx="53">
                  <c:v>8</c:v>
                </c:pt>
                <c:pt idx="54">
                  <c:v>14</c:v>
                </c:pt>
                <c:pt idx="55">
                  <c:v>15</c:v>
                </c:pt>
                <c:pt idx="56">
                  <c:v>9</c:v>
                </c:pt>
                <c:pt idx="57">
                  <c:v>13</c:v>
                </c:pt>
                <c:pt idx="58">
                  <c:v>9</c:v>
                </c:pt>
                <c:pt idx="59">
                  <c:v>2</c:v>
                </c:pt>
                <c:pt idx="60">
                  <c:v>22</c:v>
                </c:pt>
                <c:pt idx="61">
                  <c:v>21</c:v>
                </c:pt>
                <c:pt idx="62">
                  <c:v>19</c:v>
                </c:pt>
                <c:pt idx="63">
                  <c:v>21</c:v>
                </c:pt>
                <c:pt idx="64">
                  <c:v>10</c:v>
                </c:pt>
                <c:pt idx="65">
                  <c:v>7</c:v>
                </c:pt>
                <c:pt idx="66">
                  <c:v>11</c:v>
                </c:pt>
                <c:pt idx="67">
                  <c:v>21</c:v>
                </c:pt>
                <c:pt idx="68">
                  <c:v>15</c:v>
                </c:pt>
                <c:pt idx="69">
                  <c:v>9</c:v>
                </c:pt>
                <c:pt idx="70">
                  <c:v>10</c:v>
                </c:pt>
                <c:pt idx="71">
                  <c:v>15</c:v>
                </c:pt>
                <c:pt idx="72">
                  <c:v>20</c:v>
                </c:pt>
                <c:pt idx="73">
                  <c:v>15</c:v>
                </c:pt>
                <c:pt idx="74">
                  <c:v>15</c:v>
                </c:pt>
                <c:pt idx="75">
                  <c:v>16</c:v>
                </c:pt>
                <c:pt idx="76">
                  <c:v>14</c:v>
                </c:pt>
                <c:pt idx="77">
                  <c:v>15</c:v>
                </c:pt>
                <c:pt idx="78">
                  <c:v>30</c:v>
                </c:pt>
                <c:pt idx="79">
                  <c:v>17</c:v>
                </c:pt>
                <c:pt idx="80">
                  <c:v>14</c:v>
                </c:pt>
                <c:pt idx="81">
                  <c:v>11</c:v>
                </c:pt>
                <c:pt idx="82">
                  <c:v>18</c:v>
                </c:pt>
                <c:pt idx="83">
                  <c:v>19</c:v>
                </c:pt>
                <c:pt idx="84">
                  <c:v>19</c:v>
                </c:pt>
                <c:pt idx="85">
                  <c:v>14</c:v>
                </c:pt>
                <c:pt idx="86">
                  <c:v>30</c:v>
                </c:pt>
                <c:pt idx="87">
                  <c:v>9</c:v>
                </c:pt>
                <c:pt idx="88">
                  <c:v>31</c:v>
                </c:pt>
                <c:pt idx="89">
                  <c:v>12</c:v>
                </c:pt>
                <c:pt idx="90">
                  <c:v>23</c:v>
                </c:pt>
                <c:pt idx="91">
                  <c:v>18</c:v>
                </c:pt>
                <c:pt idx="92">
                  <c:v>17</c:v>
                </c:pt>
                <c:pt idx="93">
                  <c:v>16</c:v>
                </c:pt>
                <c:pt idx="94">
                  <c:v>26</c:v>
                </c:pt>
                <c:pt idx="95">
                  <c:v>12</c:v>
                </c:pt>
                <c:pt idx="96">
                  <c:v>29</c:v>
                </c:pt>
                <c:pt idx="97">
                  <c:v>8</c:v>
                </c:pt>
                <c:pt idx="98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2C8-4D8E-9D9D-E351E94243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89663055"/>
        <c:axId val="589656399"/>
      </c:lineChart>
      <c:dateAx>
        <c:axId val="58966305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400" b="0" i="0" baseline="0">
                    <a:effectLst/>
                  </a:rPr>
                  <a:t>Период (неделя)</a:t>
                </a:r>
                <a:endParaRPr lang="ru-RU" sz="14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yyyy\-mm\-dd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89656399"/>
        <c:crosses val="autoZero"/>
        <c:auto val="1"/>
        <c:lblOffset val="100"/>
        <c:baseTimeUnit val="days"/>
      </c:dateAx>
      <c:valAx>
        <c:axId val="5896563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400" b="0" i="0" baseline="0">
                    <a:effectLst/>
                  </a:rPr>
                  <a:t>Кол-во инцидентов</a:t>
                </a:r>
                <a:endParaRPr lang="ru-RU" sz="14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896630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16</Pages>
  <Words>3915</Words>
  <Characters>22321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20</cp:revision>
  <dcterms:created xsi:type="dcterms:W3CDTF">2024-03-10T11:02:00Z</dcterms:created>
  <dcterms:modified xsi:type="dcterms:W3CDTF">2026-10-14T10:06:00Z</dcterms:modified>
</cp:coreProperties>
</file>