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0CC1" w14:textId="77777777" w:rsidR="00F80F38" w:rsidRPr="00F80F38" w:rsidRDefault="00F80F38" w:rsidP="00F80F38">
      <w:pPr>
        <w:widowControl/>
        <w:spacing w:after="100" w:afterAutospacing="1"/>
        <w:jc w:val="left"/>
        <w:outlineLvl w:val="1"/>
        <w:rPr>
          <w:rFonts w:ascii="Arial" w:eastAsia="ＭＳ Ｐゴシック" w:hAnsi="Arial" w:cs="Arial"/>
          <w:b/>
          <w:bCs/>
          <w:kern w:val="0"/>
          <w:sz w:val="36"/>
          <w:szCs w:val="36"/>
        </w:rPr>
      </w:pPr>
      <w:r w:rsidRPr="00F80F38">
        <w:rPr>
          <w:rFonts w:ascii="Arial" w:eastAsia="ＭＳ Ｐゴシック" w:hAnsi="Arial" w:cs="Arial"/>
          <w:b/>
          <w:bCs/>
          <w:kern w:val="0"/>
          <w:sz w:val="36"/>
          <w:szCs w:val="36"/>
        </w:rPr>
        <w:t>The Endorsement Vote: A System for Separating Evaluation Rights to Protect Digital Sovereignty and Verify Presence</w:t>
      </w:r>
    </w:p>
    <w:p w14:paraId="43FA25C6"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1. System Philosophy: Separation of Dual Evaluation Spaces</w:t>
      </w:r>
    </w:p>
    <w:p w14:paraId="6E87F8B7"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This architecture rejects existing algorithms that collapse all user feedback into a single financial value. By physically isolating "decision-making (sovereignty)" from "presence (endorsement)," it establishes a protected sanctuary within the digital environment. </w:t>
      </w:r>
    </w:p>
    <w:p w14:paraId="715D71E0" w14:textId="77777777" w:rsidR="00F80F38" w:rsidRPr="00F80F38" w:rsidRDefault="00F80F38" w:rsidP="00F80F38">
      <w:pPr>
        <w:widowControl/>
        <w:numPr>
          <w:ilvl w:val="0"/>
          <w:numId w:val="1"/>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Sovereign Votes (Economic &amp; Decision Space):</w:t>
      </w:r>
      <w:r w:rsidRPr="00F80F38">
        <w:rPr>
          <w:rFonts w:ascii="Arial" w:eastAsia="ＭＳ Ｐゴシック" w:hAnsi="Arial" w:cs="Arial"/>
          <w:kern w:val="0"/>
          <w:sz w:val="24"/>
          <w:szCs w:val="24"/>
        </w:rPr>
        <w:t xml:space="preserve"> Evaluative input cast exclusively by users who meet designated demographic criteria (e.g., region, age). These votes tie directly to recommendation engines and market value, driving the platform’s administrative decisions. </w:t>
      </w:r>
    </w:p>
    <w:p w14:paraId="28E67FB5" w14:textId="77777777" w:rsidR="00F80F38" w:rsidRPr="00F80F38" w:rsidRDefault="00F80F38" w:rsidP="00F80F38">
      <w:pPr>
        <w:widowControl/>
        <w:numPr>
          <w:ilvl w:val="0"/>
          <w:numId w:val="1"/>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Endorsement Votes (Traces &amp; Entrustment):</w:t>
      </w:r>
      <w:r w:rsidRPr="00F80F38">
        <w:rPr>
          <w:rFonts w:ascii="Arial" w:eastAsia="ＭＳ Ｐゴシック" w:hAnsi="Arial" w:cs="Arial"/>
          <w:kern w:val="0"/>
          <w:sz w:val="24"/>
          <w:szCs w:val="24"/>
        </w:rPr>
        <w:t xml:space="preserve"> A static mark of presence left by external observers. This metric is decoupled from financial value, algorithmic ranking systems, and fluid external markets, acting purely as an entrusted signal. </w:t>
      </w:r>
    </w:p>
    <w:p w14:paraId="2DBE1ACC"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2. The Ideological Necessity of the Endorsement Vote</w:t>
      </w:r>
    </w:p>
    <w:p w14:paraId="7116C7FE" w14:textId="77777777" w:rsidR="00F80F38" w:rsidRPr="00F80F38" w:rsidRDefault="00F80F38" w:rsidP="00F80F38">
      <w:pPr>
        <w:widowControl/>
        <w:spacing w:after="100" w:afterAutospacing="1"/>
        <w:jc w:val="left"/>
        <w:outlineLvl w:val="3"/>
        <w:rPr>
          <w:rFonts w:ascii="Arial" w:eastAsia="ＭＳ Ｐゴシック" w:hAnsi="Arial" w:cs="Arial"/>
          <w:b/>
          <w:bCs/>
          <w:kern w:val="0"/>
          <w:sz w:val="24"/>
          <w:szCs w:val="24"/>
        </w:rPr>
      </w:pPr>
      <w:r w:rsidRPr="00F80F38">
        <w:rPr>
          <w:rFonts w:ascii="Arial" w:eastAsia="ＭＳ Ｐゴシック" w:hAnsi="Arial" w:cs="Arial"/>
          <w:b/>
          <w:bCs/>
          <w:kern w:val="0"/>
          <w:sz w:val="24"/>
          <w:szCs w:val="24"/>
        </w:rPr>
        <w:t>Reason 1: Safeguarding Regional Sovereignty</w:t>
      </w:r>
    </w:p>
    <w:p w14:paraId="12034AD8"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Decisions regarding region-specific issues—such as politics, history, and culture—must rest with the individuals who bear the direct long-term consequences within that region. This is a foundational principle of democratic governance, and the Endorsement Vote explicitly integrates this rule into digital systems. </w:t>
      </w:r>
    </w:p>
    <w:p w14:paraId="235B05C8" w14:textId="77777777" w:rsidR="00F80F38" w:rsidRPr="00F80F38" w:rsidRDefault="00F80F38" w:rsidP="00F80F38">
      <w:pPr>
        <w:widowControl/>
        <w:spacing w:after="100" w:afterAutospacing="1"/>
        <w:jc w:val="left"/>
        <w:outlineLvl w:val="3"/>
        <w:rPr>
          <w:rFonts w:ascii="Arial" w:eastAsia="ＭＳ Ｐゴシック" w:hAnsi="Arial" w:cs="Arial"/>
          <w:b/>
          <w:bCs/>
          <w:kern w:val="0"/>
          <w:sz w:val="24"/>
          <w:szCs w:val="24"/>
        </w:rPr>
      </w:pPr>
      <w:r w:rsidRPr="00F80F38">
        <w:rPr>
          <w:rFonts w:ascii="Arial" w:eastAsia="ＭＳ Ｐゴシック" w:hAnsi="Arial" w:cs="Arial"/>
          <w:b/>
          <w:bCs/>
          <w:kern w:val="0"/>
          <w:sz w:val="24"/>
          <w:szCs w:val="24"/>
        </w:rPr>
        <w:t>Reason 2: Neutralizing External Interference</w:t>
      </w:r>
    </w:p>
    <w:p w14:paraId="75F97DCE"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Evaluations originating from foreign jurisdictions carry three fundamental issues: the evaluators bear no local accountability, they incur no domestic costs, and they do not share the local cultural context. Weighing these inputs identically to </w:t>
      </w:r>
      <w:r w:rsidRPr="00F80F38">
        <w:rPr>
          <w:rFonts w:ascii="Arial" w:eastAsia="ＭＳ Ｐゴシック" w:hAnsi="Arial" w:cs="Arial"/>
          <w:kern w:val="0"/>
          <w:sz w:val="24"/>
          <w:szCs w:val="24"/>
        </w:rPr>
        <w:lastRenderedPageBreak/>
        <w:t xml:space="preserve">Sovereign Votes is structurally unfair. The Endorsement Vote respects external feedback by archiving it as a mark of courtesy while separating it from actual voting authority. </w:t>
      </w:r>
    </w:p>
    <w:p w14:paraId="7F5C31DB" w14:textId="77777777" w:rsidR="00F80F38" w:rsidRPr="00F80F38" w:rsidRDefault="00F80F38" w:rsidP="00F80F38">
      <w:pPr>
        <w:widowControl/>
        <w:spacing w:after="100" w:afterAutospacing="1"/>
        <w:jc w:val="left"/>
        <w:outlineLvl w:val="3"/>
        <w:rPr>
          <w:rFonts w:ascii="Arial" w:eastAsia="ＭＳ Ｐゴシック" w:hAnsi="Arial" w:cs="Arial"/>
          <w:b/>
          <w:bCs/>
          <w:kern w:val="0"/>
          <w:sz w:val="24"/>
          <w:szCs w:val="24"/>
        </w:rPr>
      </w:pPr>
      <w:r w:rsidRPr="00F80F38">
        <w:rPr>
          <w:rFonts w:ascii="Arial" w:eastAsia="ＭＳ Ｐゴシック" w:hAnsi="Arial" w:cs="Arial"/>
          <w:b/>
          <w:bCs/>
          <w:kern w:val="0"/>
          <w:sz w:val="24"/>
          <w:szCs w:val="24"/>
        </w:rPr>
        <w:t>Reason 3: Insulating Content from Outrage Campaigns and External Pressure</w:t>
      </w:r>
    </w:p>
    <w:p w14:paraId="0EF19FAA"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Massive influxes of hostile data from external sources inflict severe psychological stress on creators, discouraging cultural expression. The Endorsement Vote visualizes external pressure while rendering it systemically harmless to the creator's platform standing. </w:t>
      </w:r>
    </w:p>
    <w:p w14:paraId="6686EF08"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3. Operational Specifications and Behavior</w:t>
      </w:r>
    </w:p>
    <w:p w14:paraId="618D0189" w14:textId="77777777" w:rsidR="00F80F38" w:rsidRPr="00F80F38" w:rsidRDefault="00F80F38" w:rsidP="00F80F38">
      <w:pPr>
        <w:widowControl/>
        <w:numPr>
          <w:ilvl w:val="0"/>
          <w:numId w:val="2"/>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Eligibility Criteria:</w:t>
      </w:r>
      <w:r w:rsidRPr="00F80F38">
        <w:rPr>
          <w:rFonts w:ascii="Arial" w:eastAsia="ＭＳ Ｐゴシック" w:hAnsi="Arial" w:cs="Arial"/>
          <w:kern w:val="0"/>
          <w:sz w:val="24"/>
          <w:szCs w:val="24"/>
        </w:rPr>
        <w:t xml:space="preserve"> The option to cast an Endorsement Vote appears exclusively to viewers who can watch the content but are restricted from regular evaluation due to demographic boundaries (e.g., region, gender, or age limitations). </w:t>
      </w:r>
    </w:p>
    <w:p w14:paraId="7980D9BB" w14:textId="77777777" w:rsidR="00F80F38" w:rsidRPr="00F80F38" w:rsidRDefault="00F80F38" w:rsidP="00F80F38">
      <w:pPr>
        <w:widowControl/>
        <w:numPr>
          <w:ilvl w:val="0"/>
          <w:numId w:val="2"/>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Available Metrics:</w:t>
      </w:r>
      <w:r w:rsidRPr="00F80F38">
        <w:rPr>
          <w:rFonts w:ascii="Arial" w:eastAsia="ＭＳ Ｐゴシック" w:hAnsi="Arial" w:cs="Arial"/>
          <w:kern w:val="0"/>
          <w:sz w:val="24"/>
          <w:szCs w:val="24"/>
        </w:rPr>
        <w:t xml:space="preserve"> Eligible users may cast a Medium Vote (valued at 4 points) or a Small Vote (valued at 1 point). Large Votes and paid premium votes are disabled. </w:t>
      </w:r>
    </w:p>
    <w:p w14:paraId="5F2DC987" w14:textId="77777777" w:rsidR="00F80F38" w:rsidRPr="00F80F38" w:rsidRDefault="00F80F38" w:rsidP="00F80F38">
      <w:pPr>
        <w:widowControl/>
        <w:numPr>
          <w:ilvl w:val="0"/>
          <w:numId w:val="2"/>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Recommendation Impact:</w:t>
      </w:r>
      <w:r w:rsidRPr="00F80F38">
        <w:rPr>
          <w:rFonts w:ascii="Arial" w:eastAsia="ＭＳ Ｐゴシック" w:hAnsi="Arial" w:cs="Arial"/>
          <w:kern w:val="0"/>
          <w:sz w:val="24"/>
          <w:szCs w:val="24"/>
        </w:rPr>
        <w:t xml:space="preserve"> Endorsement Votes are excluded from ranking algorithms, requiring zero processing cost and exerting no influence over standard recommendation feeds. </w:t>
      </w:r>
    </w:p>
    <w:p w14:paraId="7A991DC6" w14:textId="77777777" w:rsidR="00F80F38" w:rsidRPr="00F80F38" w:rsidRDefault="00F80F38" w:rsidP="00F80F38">
      <w:pPr>
        <w:widowControl/>
        <w:numPr>
          <w:ilvl w:val="0"/>
          <w:numId w:val="2"/>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Comment Restrictions:</w:t>
      </w:r>
      <w:r w:rsidRPr="00F80F38">
        <w:rPr>
          <w:rFonts w:ascii="Arial" w:eastAsia="ＭＳ Ｐゴシック" w:hAnsi="Arial" w:cs="Arial"/>
          <w:kern w:val="0"/>
          <w:sz w:val="24"/>
          <w:szCs w:val="24"/>
        </w:rPr>
        <w:t xml:space="preserve"> Comment functionality is disabled for these users, blocking external flame wars and coordinated manipulation campaigns. </w:t>
      </w:r>
    </w:p>
    <w:p w14:paraId="5F183E0C" w14:textId="77777777" w:rsidR="00F80F38" w:rsidRPr="00F80F38" w:rsidRDefault="00F80F38" w:rsidP="00F80F38">
      <w:pPr>
        <w:widowControl/>
        <w:numPr>
          <w:ilvl w:val="0"/>
          <w:numId w:val="2"/>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User Interface Design:</w:t>
      </w:r>
      <w:r w:rsidRPr="00F80F38">
        <w:rPr>
          <w:rFonts w:ascii="Arial" w:eastAsia="ＭＳ Ｐゴシック" w:hAnsi="Arial" w:cs="Arial"/>
          <w:kern w:val="0"/>
          <w:sz w:val="24"/>
          <w:szCs w:val="24"/>
        </w:rPr>
        <w:t xml:space="preserve"> An "Endorsement Vote" metric column appears alongside standard evaluation tools, while the primary Sovereign Vote options are grayed out for non-eligible users. </w:t>
      </w:r>
    </w:p>
    <w:p w14:paraId="40113BC9"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4. The Resulting Three-Tiered Evaluator Structure</w:t>
      </w:r>
    </w:p>
    <w:p w14:paraId="702F574C"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Deploying this framework divides users into three distinct behavioral tiers:</w:t>
      </w:r>
    </w:p>
    <w:p w14:paraId="6334F12C" w14:textId="77777777" w:rsidR="00F80F38" w:rsidRPr="00F80F38" w:rsidRDefault="00F80F38" w:rsidP="00F80F38">
      <w:pPr>
        <w:widowControl/>
        <w:numPr>
          <w:ilvl w:val="0"/>
          <w:numId w:val="3"/>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Sovereign Voters (Decision Power):</w:t>
      </w:r>
      <w:r w:rsidRPr="00F80F38">
        <w:rPr>
          <w:rFonts w:ascii="Arial" w:eastAsia="ＭＳ Ｐゴシック" w:hAnsi="Arial" w:cs="Arial"/>
          <w:kern w:val="0"/>
          <w:sz w:val="24"/>
          <w:szCs w:val="24"/>
        </w:rPr>
        <w:t xml:space="preserve"> Local stakeholders who directly shape the visible evaluation and rank of the content. </w:t>
      </w:r>
    </w:p>
    <w:p w14:paraId="01151ADA" w14:textId="77777777" w:rsidR="00F80F38" w:rsidRPr="00F80F38" w:rsidRDefault="00F80F38" w:rsidP="00F80F38">
      <w:pPr>
        <w:widowControl/>
        <w:numPr>
          <w:ilvl w:val="0"/>
          <w:numId w:val="3"/>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lastRenderedPageBreak/>
        <w:t>Endorsement Voters (Courtesy):</w:t>
      </w:r>
      <w:r w:rsidRPr="00F80F38">
        <w:rPr>
          <w:rFonts w:ascii="Arial" w:eastAsia="ＭＳ Ｐゴシック" w:hAnsi="Arial" w:cs="Arial"/>
          <w:kern w:val="0"/>
          <w:sz w:val="24"/>
          <w:szCs w:val="24"/>
        </w:rPr>
        <w:t xml:space="preserve"> Foreign or external viewers who cannot alter platform metrics but can log verified cultural affinity and support. </w:t>
      </w:r>
    </w:p>
    <w:p w14:paraId="21B3C5F5" w14:textId="77777777" w:rsidR="00F80F38" w:rsidRPr="00F80F38" w:rsidRDefault="00F80F38" w:rsidP="00F80F38">
      <w:pPr>
        <w:widowControl/>
        <w:numPr>
          <w:ilvl w:val="0"/>
          <w:numId w:val="3"/>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Non-Evaluators (Abstainers):</w:t>
      </w:r>
      <w:r w:rsidRPr="00F80F38">
        <w:rPr>
          <w:rFonts w:ascii="Arial" w:eastAsia="ＭＳ Ｐゴシック" w:hAnsi="Arial" w:cs="Arial"/>
          <w:kern w:val="0"/>
          <w:sz w:val="24"/>
          <w:szCs w:val="24"/>
        </w:rPr>
        <w:t xml:space="preserve"> Disengaged users who leave no digital footprint. </w:t>
      </w:r>
    </w:p>
    <w:p w14:paraId="08BE1AA8"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This three-tiered structure maximizes the purity of public consensus within a specific target group. </w:t>
      </w:r>
    </w:p>
    <w:p w14:paraId="00114510"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5. Cultural Significance of the Endorsement Vote</w:t>
      </w:r>
    </w:p>
    <w:p w14:paraId="31931E1D"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Rather than serving as a blunt mechanism of exclusion, the Endorsement Vote codifies digital etiquette. It conveys three distinct silent messages: </w:t>
      </w:r>
      <w:r w:rsidRPr="00F80F38">
        <w:rPr>
          <w:rFonts w:ascii="Arial" w:eastAsia="ＭＳ Ｐゴシック" w:hAnsi="Arial" w:cs="Arial"/>
          <w:i/>
          <w:iCs/>
          <w:kern w:val="0"/>
          <w:sz w:val="24"/>
          <w:szCs w:val="24"/>
        </w:rPr>
        <w:t>"I respect your culture," "I support your content despite having no say in its governance,"</w:t>
      </w:r>
      <w:r w:rsidRPr="00F80F38">
        <w:rPr>
          <w:rFonts w:ascii="Arial" w:eastAsia="ＭＳ Ｐゴシック" w:hAnsi="Arial" w:cs="Arial"/>
          <w:kern w:val="0"/>
          <w:sz w:val="24"/>
          <w:szCs w:val="24"/>
        </w:rPr>
        <w:t xml:space="preserve"> and </w:t>
      </w:r>
      <w:r w:rsidRPr="00F80F38">
        <w:rPr>
          <w:rFonts w:ascii="Arial" w:eastAsia="ＭＳ Ｐゴシック" w:hAnsi="Arial" w:cs="Arial"/>
          <w:i/>
          <w:iCs/>
          <w:kern w:val="0"/>
          <w:sz w:val="24"/>
          <w:szCs w:val="24"/>
        </w:rPr>
        <w:t>"I choose not to interfere from the outside."</w:t>
      </w:r>
      <w:r w:rsidRPr="00F80F38">
        <w:rPr>
          <w:rFonts w:ascii="Arial" w:eastAsia="ＭＳ Ｐゴシック" w:hAnsi="Arial" w:cs="Arial"/>
          <w:kern w:val="0"/>
          <w:sz w:val="24"/>
          <w:szCs w:val="24"/>
        </w:rPr>
        <w:t xml:space="preserve"> It standardizes a system of digital manners for an interconnected world. </w:t>
      </w:r>
    </w:p>
    <w:p w14:paraId="73F70F92"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6. Resolved Systemic Contradictions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886"/>
        <w:gridCol w:w="3423"/>
      </w:tblGrid>
      <w:tr w:rsidR="00F80F38" w:rsidRPr="00F80F38" w14:paraId="66B59E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D3961"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Operational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F1EAC"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Legacy Aggregation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87D8E"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Resolution via Endorsement Isolation</w:t>
            </w:r>
          </w:p>
        </w:tc>
      </w:tr>
      <w:tr w:rsidR="00F80F38" w:rsidRPr="00F80F38" w14:paraId="5982AF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FE5D5"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External Interference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10B7F"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Compiled as equivalent data points, skewing results.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2EF49"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Isolated as a non-market trace; stripped of commercial weight. </w:t>
            </w:r>
          </w:p>
        </w:tc>
      </w:tr>
      <w:tr w:rsidR="00F80F38" w:rsidRPr="00F80F38" w14:paraId="26976E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48406"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Pollution of Intent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99AFF"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Reduced to shallow, fluid numeric scores.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BE0AF"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Logged as permanent, irreversible personal viewing history. </w:t>
            </w:r>
          </w:p>
        </w:tc>
      </w:tr>
      <w:tr w:rsidR="00F80F38" w:rsidRPr="00F80F38" w14:paraId="60EFF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003FA"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Coordinated Bot 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54C89"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Inflates overall metrics, creating artificial trends.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5FEE2"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Identified as distorted intent and excluded from core calculations. </w:t>
            </w:r>
          </w:p>
        </w:tc>
      </w:tr>
      <w:tr w:rsidR="00F80F38" w:rsidRPr="00F80F38" w14:paraId="79DB9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E07F"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Creator Suppression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26318"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Amplifies online outrage, silencing unique voices.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06C67" w14:textId="77777777" w:rsidR="00F80F38" w:rsidRPr="00F80F38" w:rsidRDefault="00F80F38" w:rsidP="00F80F38">
            <w:pPr>
              <w:widowControl/>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Neutralizes external pressure by blocking accompanying comments. </w:t>
            </w:r>
          </w:p>
        </w:tc>
      </w:tr>
    </w:tbl>
    <w:p w14:paraId="798AB8FE"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lastRenderedPageBreak/>
        <w:t>7. Conclusion: Purity Protection over Exclusion</w:t>
      </w:r>
    </w:p>
    <w:p w14:paraId="59E7EB2C"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The Endorsement Vote does not censor or ban external audiences; it welcomes foreign viewership and visualizes external respect. By removing decision-making power from non-local markets, it creates an elegant democratic framework that separates local sovereignty from the goodwill of global observers. It is an infrastructure that allows audiences to watch content while leaving governance to the community it affects. </w:t>
      </w:r>
    </w:p>
    <w:p w14:paraId="3135DD6A" w14:textId="77777777" w:rsidR="00F80F38" w:rsidRPr="00F80F38" w:rsidRDefault="00F80F38" w:rsidP="00F80F38">
      <w:pPr>
        <w:widowControl/>
        <w:spacing w:after="100" w:afterAutospacing="1"/>
        <w:jc w:val="left"/>
        <w:outlineLvl w:val="3"/>
        <w:rPr>
          <w:rFonts w:ascii="Arial" w:eastAsia="ＭＳ Ｐゴシック" w:hAnsi="Arial" w:cs="Arial"/>
          <w:b/>
          <w:bCs/>
          <w:kern w:val="0"/>
          <w:sz w:val="24"/>
          <w:szCs w:val="24"/>
        </w:rPr>
      </w:pPr>
      <w:r w:rsidRPr="00F80F38">
        <w:rPr>
          <w:rFonts w:ascii="Arial" w:eastAsia="ＭＳ Ｐゴシック" w:hAnsi="Arial" w:cs="Arial"/>
          <w:b/>
          <w:bCs/>
          <w:kern w:val="0"/>
          <w:sz w:val="24"/>
          <w:szCs w:val="24"/>
        </w:rPr>
        <w:t>Technical and Legal Notes:</w:t>
      </w:r>
    </w:p>
    <w:p w14:paraId="7A7BEA98" w14:textId="77777777" w:rsidR="00F80F38" w:rsidRPr="00F80F38" w:rsidRDefault="00F80F38" w:rsidP="00F80F38">
      <w:pPr>
        <w:widowControl/>
        <w:numPr>
          <w:ilvl w:val="0"/>
          <w:numId w:val="4"/>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Algorithmic Non-Interference:</w:t>
      </w:r>
      <w:r w:rsidRPr="00F80F38">
        <w:rPr>
          <w:rFonts w:ascii="Arial" w:eastAsia="ＭＳ Ｐゴシック" w:hAnsi="Arial" w:cs="Arial"/>
          <w:kern w:val="0"/>
          <w:sz w:val="24"/>
          <w:szCs w:val="24"/>
        </w:rPr>
        <w:t xml:space="preserve"> Because Endorsement Votes are omitted from the logic loops governing Sovereign Votes and ad-revenue spaces, they act as a built-in safety mechanism protecting existing financial models. </w:t>
      </w:r>
    </w:p>
    <w:p w14:paraId="7EE3C72B" w14:textId="77777777" w:rsidR="00F80F38" w:rsidRPr="00F80F38" w:rsidRDefault="00F80F38" w:rsidP="00F80F38">
      <w:pPr>
        <w:widowControl/>
        <w:numPr>
          <w:ilvl w:val="0"/>
          <w:numId w:val="4"/>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Isolation of Liability:</w:t>
      </w:r>
      <w:r w:rsidRPr="00F80F38">
        <w:rPr>
          <w:rFonts w:ascii="Arial" w:eastAsia="ＭＳ Ｐゴシック" w:hAnsi="Arial" w:cs="Arial"/>
          <w:kern w:val="0"/>
          <w:sz w:val="24"/>
          <w:szCs w:val="24"/>
        </w:rPr>
        <w:t xml:space="preserve"> Any localized controversy occurring within the endorsement metrics is classified as a collection of individual emotional responses rather than an official platform evaluation. This structure ensures the platform bears no legal or administrative liability for external feedback. </w:t>
      </w:r>
    </w:p>
    <w:p w14:paraId="035CC9DD" w14:textId="77777777" w:rsidR="00F80F38" w:rsidRPr="00F80F38" w:rsidRDefault="00F80F38" w:rsidP="00F80F38">
      <w:pPr>
        <w:widowControl/>
        <w:spacing w:after="100" w:afterAutospacing="1"/>
        <w:jc w:val="left"/>
        <w:outlineLvl w:val="2"/>
        <w:rPr>
          <w:rFonts w:ascii="Arial" w:eastAsia="ＭＳ Ｐゴシック" w:hAnsi="Arial" w:cs="Arial"/>
          <w:b/>
          <w:bCs/>
          <w:kern w:val="0"/>
          <w:sz w:val="27"/>
          <w:szCs w:val="27"/>
        </w:rPr>
      </w:pPr>
      <w:r w:rsidRPr="00F80F38">
        <w:rPr>
          <w:rFonts w:ascii="Arial" w:eastAsia="ＭＳ Ｐゴシック" w:hAnsi="Arial" w:cs="Arial"/>
          <w:b/>
          <w:bCs/>
          <w:kern w:val="0"/>
          <w:sz w:val="27"/>
          <w:szCs w:val="27"/>
        </w:rPr>
        <w:t>8. Supplement: Regional Segmentation and Commercial Benefits in Sports &amp; Specialized Sectors</w:t>
      </w:r>
    </w:p>
    <w:p w14:paraId="19B8E5E6"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International athletics, like regional politics, depend heavily on local context and nationality. For events like the World Cup, the Olympics, or regional soccer leagues, isolating evaluation metrics by geography functions as a natural tool for cultural preservation. </w:t>
      </w:r>
    </w:p>
    <w:p w14:paraId="65586E63" w14:textId="77777777" w:rsidR="00F80F38" w:rsidRPr="00F80F38" w:rsidRDefault="00F80F38" w:rsidP="00F80F38">
      <w:pPr>
        <w:widowControl/>
        <w:spacing w:after="100" w:afterAutospacing="1"/>
        <w:jc w:val="left"/>
        <w:outlineLvl w:val="3"/>
        <w:rPr>
          <w:rFonts w:ascii="Arial" w:eastAsia="ＭＳ Ｐゴシック" w:hAnsi="Arial" w:cs="Arial"/>
          <w:b/>
          <w:bCs/>
          <w:kern w:val="0"/>
          <w:sz w:val="24"/>
          <w:szCs w:val="24"/>
        </w:rPr>
      </w:pPr>
      <w:r w:rsidRPr="00F80F38">
        <w:rPr>
          <w:rFonts w:ascii="Arial" w:eastAsia="ＭＳ Ｐゴシック" w:hAnsi="Arial" w:cs="Arial"/>
          <w:b/>
          <w:bCs/>
          <w:kern w:val="0"/>
          <w:sz w:val="24"/>
          <w:szCs w:val="24"/>
        </w:rPr>
        <w:t>The Logic of Segmenting Distributions by Region:</w:t>
      </w:r>
    </w:p>
    <w:p w14:paraId="0C8FB0E6"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Publishing unique, separate video feeds for individual target markets (e.g., distinct feeds for Japan, South Korea, and Europe) allows regional Sovereign Votes to operate independently: </w:t>
      </w:r>
    </w:p>
    <w:p w14:paraId="7F820E5D" w14:textId="77777777" w:rsidR="00F80F38" w:rsidRPr="00F80F38" w:rsidRDefault="00F80F38" w:rsidP="00F80F38">
      <w:pPr>
        <w:widowControl/>
        <w:numPr>
          <w:ilvl w:val="0"/>
          <w:numId w:val="5"/>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t>Local Feeds:</w:t>
      </w:r>
      <w:r w:rsidRPr="00F80F38">
        <w:rPr>
          <w:rFonts w:ascii="Arial" w:eastAsia="ＭＳ Ｐゴシック" w:hAnsi="Arial" w:cs="Arial"/>
          <w:kern w:val="0"/>
          <w:sz w:val="24"/>
          <w:szCs w:val="24"/>
        </w:rPr>
        <w:t xml:space="preserve"> Evaluated exclusively by the Sovereign Votes of the host region, capturing authentic domestic sentiment. </w:t>
      </w:r>
    </w:p>
    <w:p w14:paraId="3B6E096F" w14:textId="77777777" w:rsidR="00F80F38" w:rsidRPr="00F80F38" w:rsidRDefault="00F80F38" w:rsidP="00F80F38">
      <w:pPr>
        <w:widowControl/>
        <w:numPr>
          <w:ilvl w:val="0"/>
          <w:numId w:val="5"/>
        </w:numPr>
        <w:spacing w:after="100" w:afterAutospacing="1"/>
        <w:jc w:val="left"/>
        <w:rPr>
          <w:rFonts w:ascii="Arial" w:eastAsia="ＭＳ Ｐゴシック" w:hAnsi="Arial" w:cs="Arial"/>
          <w:kern w:val="0"/>
          <w:sz w:val="24"/>
          <w:szCs w:val="24"/>
        </w:rPr>
      </w:pPr>
      <w:r w:rsidRPr="00F80F38">
        <w:rPr>
          <w:rFonts w:ascii="Arial" w:eastAsia="ＭＳ Ｐゴシック" w:hAnsi="Arial" w:cs="Arial"/>
          <w:b/>
          <w:bCs/>
          <w:kern w:val="0"/>
          <w:sz w:val="24"/>
          <w:szCs w:val="24"/>
        </w:rPr>
        <w:lastRenderedPageBreak/>
        <w:t>Global Feeds:</w:t>
      </w:r>
      <w:r w:rsidRPr="00F80F38">
        <w:rPr>
          <w:rFonts w:ascii="Arial" w:eastAsia="ＭＳ Ｐゴシック" w:hAnsi="Arial" w:cs="Arial"/>
          <w:kern w:val="0"/>
          <w:sz w:val="24"/>
          <w:szCs w:val="24"/>
        </w:rPr>
        <w:t xml:space="preserve"> Accumulate Endorsement Votes from global viewers, gathering expressions of international respect. </w:t>
      </w:r>
    </w:p>
    <w:p w14:paraId="076CC6B6" w14:textId="77777777" w:rsidR="00F80F38" w:rsidRPr="00F80F38" w:rsidRDefault="00F80F38" w:rsidP="00F80F38">
      <w:pPr>
        <w:widowControl/>
        <w:spacing w:after="100" w:afterAutospacing="1"/>
        <w:jc w:val="left"/>
        <w:rPr>
          <w:rFonts w:ascii="Arial" w:eastAsia="ＭＳ Ｐゴシック" w:hAnsi="Arial" w:cs="Arial"/>
          <w:kern w:val="0"/>
          <w:sz w:val="24"/>
          <w:szCs w:val="24"/>
        </w:rPr>
      </w:pPr>
      <w:r w:rsidRPr="00F80F38">
        <w:rPr>
          <w:rFonts w:ascii="Arial" w:eastAsia="ＭＳ Ｐゴシック" w:hAnsi="Arial" w:cs="Arial"/>
          <w:kern w:val="0"/>
          <w:sz w:val="24"/>
          <w:szCs w:val="24"/>
        </w:rPr>
        <w:t xml:space="preserve">This configuration maps out consumer passion across different regions while preventing cross-border trolling or toxic nationalistic arguments. While splitting the upload divides the raw view count, this framework prioritizes </w:t>
      </w:r>
      <w:r w:rsidRPr="00F80F38">
        <w:rPr>
          <w:rFonts w:ascii="Arial" w:eastAsia="ＭＳ Ｐゴシック" w:hAnsi="Arial" w:cs="Arial"/>
          <w:i/>
          <w:iCs/>
          <w:kern w:val="0"/>
          <w:sz w:val="24"/>
          <w:szCs w:val="24"/>
        </w:rPr>
        <w:t>engagement density</w:t>
      </w:r>
      <w:r w:rsidRPr="00F80F38">
        <w:rPr>
          <w:rFonts w:ascii="Arial" w:eastAsia="ＭＳ Ｐゴシック" w:hAnsi="Arial" w:cs="Arial"/>
          <w:kern w:val="0"/>
          <w:sz w:val="24"/>
          <w:szCs w:val="24"/>
        </w:rPr>
        <w:t xml:space="preserve"> over hollow volume, turning segmentation into a strategic advantage. This model adapts well to other sensitive sectors governed by disparate national frameworks, including defense, medical reporting, class systems, and international summits. </w:t>
      </w:r>
    </w:p>
    <w:p w14:paraId="6431258F" w14:textId="77777777" w:rsidR="001B2004" w:rsidRPr="00F80F38" w:rsidRDefault="001B2004"/>
    <w:sectPr w:rsidR="001B2004" w:rsidRPr="00F80F3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14D2" w14:textId="77777777" w:rsidR="00F445E0" w:rsidRDefault="00F445E0" w:rsidP="00F80F38">
      <w:r>
        <w:separator/>
      </w:r>
    </w:p>
  </w:endnote>
  <w:endnote w:type="continuationSeparator" w:id="0">
    <w:p w14:paraId="745683EE" w14:textId="77777777" w:rsidR="00F445E0" w:rsidRDefault="00F445E0" w:rsidP="00F8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454F" w14:textId="77777777" w:rsidR="00F445E0" w:rsidRDefault="00F445E0" w:rsidP="00F80F38">
      <w:r>
        <w:separator/>
      </w:r>
    </w:p>
  </w:footnote>
  <w:footnote w:type="continuationSeparator" w:id="0">
    <w:p w14:paraId="4BC89094" w14:textId="77777777" w:rsidR="00F445E0" w:rsidRDefault="00F445E0" w:rsidP="00F80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761"/>
    <w:multiLevelType w:val="multilevel"/>
    <w:tmpl w:val="EE38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4CE2"/>
    <w:multiLevelType w:val="multilevel"/>
    <w:tmpl w:val="9F3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44CFF"/>
    <w:multiLevelType w:val="multilevel"/>
    <w:tmpl w:val="491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666FB"/>
    <w:multiLevelType w:val="multilevel"/>
    <w:tmpl w:val="108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44A4B"/>
    <w:multiLevelType w:val="multilevel"/>
    <w:tmpl w:val="BDDE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657654">
    <w:abstractNumId w:val="2"/>
  </w:num>
  <w:num w:numId="2" w16cid:durableId="700977468">
    <w:abstractNumId w:val="0"/>
  </w:num>
  <w:num w:numId="3" w16cid:durableId="1706250937">
    <w:abstractNumId w:val="4"/>
  </w:num>
  <w:num w:numId="4" w16cid:durableId="1080249662">
    <w:abstractNumId w:val="3"/>
  </w:num>
  <w:num w:numId="5" w16cid:durableId="1434667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20"/>
    <w:rsid w:val="001B2004"/>
    <w:rsid w:val="007A1B20"/>
    <w:rsid w:val="00CA6EAD"/>
    <w:rsid w:val="00D56BE7"/>
    <w:rsid w:val="00F445E0"/>
    <w:rsid w:val="00F80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4694F6E2-13AD-4C68-B06E-FC24D1AC6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B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A1B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A1B2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A1B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A1B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A1B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A1B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A1B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A1B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A1B2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A1B2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A1B2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A1B2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A1B2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A1B2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A1B2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A1B2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A1B2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A1B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A1B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B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A1B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B20"/>
    <w:pPr>
      <w:spacing w:before="160" w:after="160"/>
      <w:jc w:val="center"/>
    </w:pPr>
    <w:rPr>
      <w:i/>
      <w:iCs/>
      <w:color w:val="404040" w:themeColor="text1" w:themeTint="BF"/>
    </w:rPr>
  </w:style>
  <w:style w:type="character" w:customStyle="1" w:styleId="a8">
    <w:name w:val="引用文 (文字)"/>
    <w:basedOn w:val="a0"/>
    <w:link w:val="a7"/>
    <w:uiPriority w:val="29"/>
    <w:rsid w:val="007A1B20"/>
    <w:rPr>
      <w:i/>
      <w:iCs/>
      <w:color w:val="404040" w:themeColor="text1" w:themeTint="BF"/>
    </w:rPr>
  </w:style>
  <w:style w:type="paragraph" w:styleId="a9">
    <w:name w:val="List Paragraph"/>
    <w:basedOn w:val="a"/>
    <w:uiPriority w:val="34"/>
    <w:qFormat/>
    <w:rsid w:val="007A1B20"/>
    <w:pPr>
      <w:ind w:left="720"/>
      <w:contextualSpacing/>
    </w:pPr>
  </w:style>
  <w:style w:type="character" w:styleId="21">
    <w:name w:val="Intense Emphasis"/>
    <w:basedOn w:val="a0"/>
    <w:uiPriority w:val="21"/>
    <w:qFormat/>
    <w:rsid w:val="007A1B20"/>
    <w:rPr>
      <w:i/>
      <w:iCs/>
      <w:color w:val="0F4761" w:themeColor="accent1" w:themeShade="BF"/>
    </w:rPr>
  </w:style>
  <w:style w:type="paragraph" w:styleId="22">
    <w:name w:val="Intense Quote"/>
    <w:basedOn w:val="a"/>
    <w:next w:val="a"/>
    <w:link w:val="23"/>
    <w:uiPriority w:val="30"/>
    <w:qFormat/>
    <w:rsid w:val="007A1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A1B20"/>
    <w:rPr>
      <w:i/>
      <w:iCs/>
      <w:color w:val="0F4761" w:themeColor="accent1" w:themeShade="BF"/>
    </w:rPr>
  </w:style>
  <w:style w:type="character" w:styleId="24">
    <w:name w:val="Intense Reference"/>
    <w:basedOn w:val="a0"/>
    <w:uiPriority w:val="32"/>
    <w:qFormat/>
    <w:rsid w:val="007A1B20"/>
    <w:rPr>
      <w:b/>
      <w:bCs/>
      <w:smallCaps/>
      <w:color w:val="0F4761" w:themeColor="accent1" w:themeShade="BF"/>
      <w:spacing w:val="5"/>
    </w:rPr>
  </w:style>
  <w:style w:type="paragraph" w:styleId="aa">
    <w:name w:val="header"/>
    <w:basedOn w:val="a"/>
    <w:link w:val="ab"/>
    <w:uiPriority w:val="99"/>
    <w:unhideWhenUsed/>
    <w:rsid w:val="00F80F38"/>
    <w:pPr>
      <w:tabs>
        <w:tab w:val="center" w:pos="4252"/>
        <w:tab w:val="right" w:pos="8504"/>
      </w:tabs>
      <w:snapToGrid w:val="0"/>
    </w:pPr>
  </w:style>
  <w:style w:type="character" w:customStyle="1" w:styleId="ab">
    <w:name w:val="ヘッダー (文字)"/>
    <w:basedOn w:val="a0"/>
    <w:link w:val="aa"/>
    <w:uiPriority w:val="99"/>
    <w:rsid w:val="00F80F38"/>
  </w:style>
  <w:style w:type="paragraph" w:styleId="ac">
    <w:name w:val="footer"/>
    <w:basedOn w:val="a"/>
    <w:link w:val="ad"/>
    <w:uiPriority w:val="99"/>
    <w:unhideWhenUsed/>
    <w:rsid w:val="00F80F38"/>
    <w:pPr>
      <w:tabs>
        <w:tab w:val="center" w:pos="4252"/>
        <w:tab w:val="right" w:pos="8504"/>
      </w:tabs>
      <w:snapToGrid w:val="0"/>
    </w:pPr>
  </w:style>
  <w:style w:type="character" w:customStyle="1" w:styleId="ad">
    <w:name w:val="フッター (文字)"/>
    <w:basedOn w:val="a0"/>
    <w:link w:val="ac"/>
    <w:uiPriority w:val="99"/>
    <w:rsid w:val="00F80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2026-07-08T07:20:00Z</dcterms:created>
  <dcterms:modified xsi:type="dcterms:W3CDTF">2026-07-08T07:22:00Z</dcterms:modified>
</cp:coreProperties>
</file>