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ABB78" w14:textId="77777777" w:rsidR="0055506D" w:rsidRPr="0055506D" w:rsidRDefault="0055506D" w:rsidP="0055506D">
      <w:pPr>
        <w:widowControl/>
        <w:spacing w:after="100" w:afterAutospacing="1"/>
        <w:jc w:val="left"/>
        <w:outlineLvl w:val="1"/>
        <w:rPr>
          <w:rFonts w:ascii="Arial" w:eastAsia="ＭＳ Ｐゴシック" w:hAnsi="Arial" w:cs="Arial"/>
          <w:b/>
          <w:bCs/>
          <w:kern w:val="0"/>
          <w:sz w:val="36"/>
          <w:szCs w:val="36"/>
        </w:rPr>
      </w:pPr>
      <w:r w:rsidRPr="0055506D">
        <w:rPr>
          <w:rFonts w:ascii="Arial" w:eastAsia="ＭＳ Ｐゴシック" w:hAnsi="Arial" w:cs="Arial"/>
          <w:b/>
          <w:bCs/>
          <w:kern w:val="0"/>
          <w:sz w:val="36"/>
          <w:szCs w:val="36"/>
        </w:rPr>
        <w:t>Restructuring Physical Advertisements and Digital Accounts for High-Trust, Low-Processing Ecosystems</w:t>
      </w:r>
    </w:p>
    <w:p w14:paraId="2A06917C" w14:textId="77777777" w:rsidR="0055506D" w:rsidRPr="0055506D" w:rsidRDefault="0055506D" w:rsidP="0055506D">
      <w:pPr>
        <w:widowControl/>
        <w:spacing w:after="100" w:afterAutospacing="1"/>
        <w:jc w:val="left"/>
        <w:rPr>
          <w:rFonts w:ascii="Arial" w:eastAsia="ＭＳ Ｐゴシック" w:hAnsi="Arial" w:cs="Arial"/>
          <w:kern w:val="0"/>
          <w:sz w:val="24"/>
          <w:szCs w:val="24"/>
        </w:rPr>
      </w:pPr>
      <w:r w:rsidRPr="0055506D">
        <w:rPr>
          <w:rFonts w:ascii="Arial" w:eastAsia="ＭＳ Ｐゴシック" w:hAnsi="Arial" w:cs="Arial"/>
          <w:b/>
          <w:bCs/>
          <w:kern w:val="0"/>
          <w:sz w:val="24"/>
          <w:szCs w:val="24"/>
        </w:rPr>
        <w:t>Rebuilding Trust Through Physical Touchpoints and Integration into Digital Economies</w:t>
      </w:r>
    </w:p>
    <w:p w14:paraId="5907FFF0" w14:textId="77777777" w:rsidR="0055506D" w:rsidRPr="0055506D" w:rsidRDefault="0055506D" w:rsidP="0055506D">
      <w:pPr>
        <w:widowControl/>
        <w:spacing w:after="100" w:afterAutospacing="1"/>
        <w:jc w:val="left"/>
        <w:rPr>
          <w:rFonts w:ascii="Arial" w:eastAsia="ＭＳ Ｐゴシック" w:hAnsi="Arial" w:cs="Arial"/>
          <w:kern w:val="0"/>
          <w:sz w:val="24"/>
          <w:szCs w:val="24"/>
        </w:rPr>
      </w:pPr>
      <w:r w:rsidRPr="0055506D">
        <w:rPr>
          <w:rFonts w:ascii="Arial" w:eastAsia="ＭＳ Ｐゴシック" w:hAnsi="Arial" w:cs="Arial"/>
          <w:i/>
          <w:iCs/>
          <w:kern w:val="0"/>
          <w:sz w:val="24"/>
          <w:szCs w:val="24"/>
        </w:rPr>
        <w:t>(A strategy leveraging physical bottlenecks to completely bypass algorithm reliance and algorithmic ad fraud)</w:t>
      </w:r>
    </w:p>
    <w:p w14:paraId="22F27561" w14:textId="77777777" w:rsidR="0055506D" w:rsidRPr="0055506D" w:rsidRDefault="0055506D" w:rsidP="0055506D">
      <w:pPr>
        <w:widowControl/>
        <w:spacing w:after="100" w:afterAutospacing="1"/>
        <w:jc w:val="left"/>
        <w:outlineLvl w:val="2"/>
        <w:rPr>
          <w:rFonts w:ascii="Arial" w:eastAsia="ＭＳ Ｐゴシック" w:hAnsi="Arial" w:cs="Arial"/>
          <w:b/>
          <w:bCs/>
          <w:kern w:val="0"/>
          <w:sz w:val="27"/>
          <w:szCs w:val="27"/>
        </w:rPr>
      </w:pPr>
      <w:r w:rsidRPr="0055506D">
        <w:rPr>
          <w:rFonts w:ascii="Arial" w:eastAsia="ＭＳ Ｐゴシック" w:hAnsi="Arial" w:cs="Arial"/>
          <w:b/>
          <w:bCs/>
          <w:kern w:val="0"/>
          <w:sz w:val="27"/>
          <w:szCs w:val="27"/>
        </w:rPr>
        <w:t>1. Market Background: Digital Saturation and the Erosion of Trust</w:t>
      </w:r>
    </w:p>
    <w:p w14:paraId="4A8DBFE3" w14:textId="77777777" w:rsidR="0055506D" w:rsidRPr="0055506D" w:rsidRDefault="0055506D" w:rsidP="0055506D">
      <w:pPr>
        <w:widowControl/>
        <w:spacing w:after="100" w:afterAutospacing="1"/>
        <w:jc w:val="left"/>
        <w:rPr>
          <w:rFonts w:ascii="Arial" w:eastAsia="ＭＳ Ｐゴシック" w:hAnsi="Arial" w:cs="Arial"/>
          <w:kern w:val="0"/>
          <w:sz w:val="24"/>
          <w:szCs w:val="24"/>
        </w:rPr>
      </w:pPr>
      <w:r w:rsidRPr="0055506D">
        <w:rPr>
          <w:rFonts w:ascii="Arial" w:eastAsia="ＭＳ Ｐゴシック" w:hAnsi="Arial" w:cs="Arial"/>
          <w:kern w:val="0"/>
          <w:sz w:val="24"/>
          <w:szCs w:val="24"/>
        </w:rPr>
        <w:t xml:space="preserve">The modern e-commerce and advertising landscapes are plagued by an artificial inflation of metrics. Performance indicators like click-through rates (CTR) and raw video views are continuously manipulated by automated bots, accidental taps, and passive, mindless scrolling. As a result, advertisers are rapidly losing genuine, high-intent touchpoints with real consumers. No matter how targeted or visually sophisticated an on-screen advertisement is, it frequently leaves the user with an underlying sense of skepticism. This systemic erosion of trust is the defining crisis of modern digital media. </w:t>
      </w:r>
    </w:p>
    <w:p w14:paraId="3B074367" w14:textId="77777777" w:rsidR="0055506D" w:rsidRPr="0055506D" w:rsidRDefault="0055506D" w:rsidP="0055506D">
      <w:pPr>
        <w:widowControl/>
        <w:spacing w:after="100" w:afterAutospacing="1"/>
        <w:jc w:val="left"/>
        <w:outlineLvl w:val="2"/>
        <w:rPr>
          <w:rFonts w:ascii="Arial" w:eastAsia="ＭＳ Ｐゴシック" w:hAnsi="Arial" w:cs="Arial"/>
          <w:b/>
          <w:bCs/>
          <w:kern w:val="0"/>
          <w:sz w:val="27"/>
          <w:szCs w:val="27"/>
        </w:rPr>
      </w:pPr>
      <w:r w:rsidRPr="0055506D">
        <w:rPr>
          <w:rFonts w:ascii="Arial" w:eastAsia="ＭＳ Ｐゴシック" w:hAnsi="Arial" w:cs="Arial"/>
          <w:b/>
          <w:bCs/>
          <w:kern w:val="0"/>
          <w:sz w:val="27"/>
          <w:szCs w:val="27"/>
        </w:rPr>
        <w:t>2. Core Philosophy: The Dominance of Somatosensory Memory</w:t>
      </w:r>
    </w:p>
    <w:p w14:paraId="20B19B64" w14:textId="77777777" w:rsidR="0055506D" w:rsidRPr="0055506D" w:rsidRDefault="0055506D" w:rsidP="0055506D">
      <w:pPr>
        <w:widowControl/>
        <w:spacing w:after="100" w:afterAutospacing="1"/>
        <w:jc w:val="left"/>
        <w:rPr>
          <w:rFonts w:ascii="Arial" w:eastAsia="ＭＳ Ｐゴシック" w:hAnsi="Arial" w:cs="Arial"/>
          <w:kern w:val="0"/>
          <w:sz w:val="24"/>
          <w:szCs w:val="24"/>
        </w:rPr>
      </w:pPr>
      <w:r w:rsidRPr="0055506D">
        <w:rPr>
          <w:rFonts w:ascii="Arial" w:eastAsia="ＭＳ Ｐゴシック" w:hAnsi="Arial" w:cs="Arial"/>
          <w:kern w:val="0"/>
          <w:sz w:val="24"/>
          <w:szCs w:val="24"/>
        </w:rPr>
        <w:t>To break through this digital skepticism, this proposal advocates for a strategic pivot back to physical spaces. Experiential physical touchpoints—such as utilizing capsule vending machines (</w:t>
      </w:r>
      <w:proofErr w:type="spellStart"/>
      <w:r w:rsidRPr="0055506D">
        <w:rPr>
          <w:rFonts w:ascii="Arial" w:eastAsia="ＭＳ Ｐゴシック" w:hAnsi="Arial" w:cs="Arial"/>
          <w:kern w:val="0"/>
          <w:sz w:val="24"/>
          <w:szCs w:val="24"/>
        </w:rPr>
        <w:t>Gachapon</w:t>
      </w:r>
      <w:proofErr w:type="spellEnd"/>
      <w:r w:rsidRPr="0055506D">
        <w:rPr>
          <w:rFonts w:ascii="Arial" w:eastAsia="ＭＳ Ｐゴシック" w:hAnsi="Arial" w:cs="Arial"/>
          <w:kern w:val="0"/>
          <w:sz w:val="24"/>
          <w:szCs w:val="24"/>
        </w:rPr>
        <w:t xml:space="preserve">) or distributing product samples—engage consumers on an emotional and cognitive level that digital screens cannot replicate. </w:t>
      </w:r>
    </w:p>
    <w:p w14:paraId="58A2FE0E" w14:textId="77777777" w:rsidR="0055506D" w:rsidRPr="0055506D" w:rsidRDefault="0055506D" w:rsidP="0055506D">
      <w:pPr>
        <w:widowControl/>
        <w:numPr>
          <w:ilvl w:val="0"/>
          <w:numId w:val="1"/>
        </w:numPr>
        <w:spacing w:after="100" w:afterAutospacing="1"/>
        <w:jc w:val="left"/>
        <w:rPr>
          <w:rFonts w:ascii="Arial" w:eastAsia="ＭＳ Ｐゴシック" w:hAnsi="Arial" w:cs="Arial"/>
          <w:kern w:val="0"/>
          <w:sz w:val="24"/>
          <w:szCs w:val="24"/>
        </w:rPr>
      </w:pPr>
      <w:r w:rsidRPr="0055506D">
        <w:rPr>
          <w:rFonts w:ascii="Arial" w:eastAsia="ＭＳ Ｐゴシック" w:hAnsi="Arial" w:cs="Arial"/>
          <w:b/>
          <w:bCs/>
          <w:kern w:val="0"/>
          <w:sz w:val="24"/>
          <w:szCs w:val="24"/>
        </w:rPr>
        <w:t>Physical Proof:</w:t>
      </w:r>
      <w:r w:rsidRPr="0055506D">
        <w:rPr>
          <w:rFonts w:ascii="Arial" w:eastAsia="ＭＳ Ｐゴシック" w:hAnsi="Arial" w:cs="Arial"/>
          <w:kern w:val="0"/>
          <w:sz w:val="24"/>
          <w:szCs w:val="24"/>
        </w:rPr>
        <w:t xml:space="preserve"> The simple reality of receiving a tangible product that can be touched and held provides an authentic, verifiable user experience that cannot be artificially faked or manipulated online. </w:t>
      </w:r>
    </w:p>
    <w:p w14:paraId="7FF937CC" w14:textId="77777777" w:rsidR="0055506D" w:rsidRPr="0055506D" w:rsidRDefault="0055506D" w:rsidP="0055506D">
      <w:pPr>
        <w:widowControl/>
        <w:numPr>
          <w:ilvl w:val="0"/>
          <w:numId w:val="1"/>
        </w:numPr>
        <w:spacing w:after="100" w:afterAutospacing="1"/>
        <w:jc w:val="left"/>
        <w:rPr>
          <w:rFonts w:ascii="Arial" w:eastAsia="ＭＳ Ｐゴシック" w:hAnsi="Arial" w:cs="Arial"/>
          <w:kern w:val="0"/>
          <w:sz w:val="24"/>
          <w:szCs w:val="24"/>
        </w:rPr>
      </w:pPr>
      <w:r w:rsidRPr="0055506D">
        <w:rPr>
          <w:rFonts w:ascii="Arial" w:eastAsia="ＭＳ Ｐゴシック" w:hAnsi="Arial" w:cs="Arial"/>
          <w:b/>
          <w:bCs/>
          <w:kern w:val="0"/>
          <w:sz w:val="24"/>
          <w:szCs w:val="24"/>
        </w:rPr>
        <w:t>Somatosensory Retention:</w:t>
      </w:r>
      <w:r w:rsidRPr="0055506D">
        <w:rPr>
          <w:rFonts w:ascii="Arial" w:eastAsia="ＭＳ Ｐゴシック" w:hAnsi="Arial" w:cs="Arial"/>
          <w:kern w:val="0"/>
          <w:sz w:val="24"/>
          <w:szCs w:val="24"/>
        </w:rPr>
        <w:t xml:space="preserve"> The sequence of physical movements—handling a token, inserting it, and cracking open a capsule—creates a </w:t>
      </w:r>
      <w:r w:rsidRPr="0055506D">
        <w:rPr>
          <w:rFonts w:ascii="Arial" w:eastAsia="ＭＳ Ｐゴシック" w:hAnsi="Arial" w:cs="Arial"/>
          <w:kern w:val="0"/>
          <w:sz w:val="24"/>
          <w:szCs w:val="24"/>
        </w:rPr>
        <w:lastRenderedPageBreak/>
        <w:t xml:space="preserve">level of long-term brand recall that far outlasts the memory of a transient online ad. </w:t>
      </w:r>
    </w:p>
    <w:p w14:paraId="16DE8FB6" w14:textId="77777777" w:rsidR="0055506D" w:rsidRPr="0055506D" w:rsidRDefault="0055506D" w:rsidP="0055506D">
      <w:pPr>
        <w:widowControl/>
        <w:spacing w:after="100" w:afterAutospacing="1"/>
        <w:jc w:val="left"/>
        <w:outlineLvl w:val="2"/>
        <w:rPr>
          <w:rFonts w:ascii="Arial" w:eastAsia="ＭＳ Ｐゴシック" w:hAnsi="Arial" w:cs="Arial"/>
          <w:b/>
          <w:bCs/>
          <w:kern w:val="0"/>
          <w:sz w:val="27"/>
          <w:szCs w:val="27"/>
        </w:rPr>
      </w:pPr>
      <w:r w:rsidRPr="0055506D">
        <w:rPr>
          <w:rFonts w:ascii="Arial" w:eastAsia="ＭＳ Ｐゴシック" w:hAnsi="Arial" w:cs="Arial"/>
          <w:b/>
          <w:bCs/>
          <w:kern w:val="0"/>
          <w:sz w:val="27"/>
          <w:szCs w:val="27"/>
        </w:rPr>
        <w:t>3. Setting Up a Physical Barrier Against Ad Fraud</w:t>
      </w:r>
    </w:p>
    <w:p w14:paraId="733C03AB" w14:textId="77777777" w:rsidR="0055506D" w:rsidRPr="0055506D" w:rsidRDefault="0055506D" w:rsidP="0055506D">
      <w:pPr>
        <w:widowControl/>
        <w:spacing w:after="100" w:afterAutospacing="1"/>
        <w:jc w:val="left"/>
        <w:rPr>
          <w:rFonts w:ascii="Arial" w:eastAsia="ＭＳ Ｐゴシック" w:hAnsi="Arial" w:cs="Arial"/>
          <w:kern w:val="0"/>
          <w:sz w:val="24"/>
          <w:szCs w:val="24"/>
        </w:rPr>
      </w:pPr>
      <w:r w:rsidRPr="0055506D">
        <w:rPr>
          <w:rFonts w:ascii="Arial" w:eastAsia="ＭＳ Ｐゴシック" w:hAnsi="Arial" w:cs="Arial"/>
          <w:kern w:val="0"/>
          <w:sz w:val="24"/>
          <w:szCs w:val="24"/>
        </w:rPr>
        <w:t xml:space="preserve">This experiential advertising layout is more than just a promotional stunt; it functions as an absolute physical gateway for authentic account registration. </w:t>
      </w:r>
    </w:p>
    <w:p w14:paraId="6065AD0E" w14:textId="77777777" w:rsidR="0055506D" w:rsidRPr="0055506D" w:rsidRDefault="0055506D" w:rsidP="0055506D">
      <w:pPr>
        <w:widowControl/>
        <w:numPr>
          <w:ilvl w:val="0"/>
          <w:numId w:val="2"/>
        </w:numPr>
        <w:spacing w:after="100" w:afterAutospacing="1"/>
        <w:jc w:val="left"/>
        <w:rPr>
          <w:rFonts w:ascii="Arial" w:eastAsia="ＭＳ Ｐゴシック" w:hAnsi="Arial" w:cs="Arial"/>
          <w:kern w:val="0"/>
          <w:sz w:val="24"/>
          <w:szCs w:val="24"/>
        </w:rPr>
      </w:pPr>
      <w:r w:rsidRPr="0055506D">
        <w:rPr>
          <w:rFonts w:ascii="Arial" w:eastAsia="ＭＳ Ｐゴシック" w:hAnsi="Arial" w:cs="Arial"/>
          <w:b/>
          <w:bCs/>
          <w:kern w:val="0"/>
          <w:sz w:val="24"/>
          <w:szCs w:val="24"/>
        </w:rPr>
        <w:t>Eliminating Bots via Physical Constraints:</w:t>
      </w:r>
      <w:r w:rsidRPr="0055506D">
        <w:rPr>
          <w:rFonts w:ascii="Arial" w:eastAsia="ＭＳ Ｐゴシック" w:hAnsi="Arial" w:cs="Arial"/>
          <w:kern w:val="0"/>
          <w:sz w:val="24"/>
          <w:szCs w:val="24"/>
        </w:rPr>
        <w:t xml:space="preserve"> Automated bot networks cannot materialize in the physical world to operate mechanical machinery. Setting up physical kiosks in high-traffic railway corridors or shopping malls serves as an absolute, un-</w:t>
      </w:r>
      <w:proofErr w:type="spellStart"/>
      <w:r w:rsidRPr="0055506D">
        <w:rPr>
          <w:rFonts w:ascii="Arial" w:eastAsia="ＭＳ Ｐゴシック" w:hAnsi="Arial" w:cs="Arial"/>
          <w:kern w:val="0"/>
          <w:sz w:val="24"/>
          <w:szCs w:val="24"/>
        </w:rPr>
        <w:t>bottable</w:t>
      </w:r>
      <w:proofErr w:type="spellEnd"/>
      <w:r w:rsidRPr="0055506D">
        <w:rPr>
          <w:rFonts w:ascii="Arial" w:eastAsia="ＭＳ Ｐゴシック" w:hAnsi="Arial" w:cs="Arial"/>
          <w:kern w:val="0"/>
          <w:sz w:val="24"/>
          <w:szCs w:val="24"/>
        </w:rPr>
        <w:t xml:space="preserve"> verification mechanism proving a user is human. </w:t>
      </w:r>
    </w:p>
    <w:p w14:paraId="37ACEEB1" w14:textId="77777777" w:rsidR="0055506D" w:rsidRPr="0055506D" w:rsidRDefault="0055506D" w:rsidP="0055506D">
      <w:pPr>
        <w:widowControl/>
        <w:numPr>
          <w:ilvl w:val="0"/>
          <w:numId w:val="2"/>
        </w:numPr>
        <w:spacing w:after="100" w:afterAutospacing="1"/>
        <w:jc w:val="left"/>
        <w:rPr>
          <w:rFonts w:ascii="Arial" w:eastAsia="ＭＳ Ｐゴシック" w:hAnsi="Arial" w:cs="Arial"/>
          <w:kern w:val="0"/>
          <w:sz w:val="24"/>
          <w:szCs w:val="24"/>
        </w:rPr>
      </w:pPr>
      <w:r w:rsidRPr="0055506D">
        <w:rPr>
          <w:rFonts w:ascii="Arial" w:eastAsia="ＭＳ Ｐゴシック" w:hAnsi="Arial" w:cs="Arial"/>
          <w:b/>
          <w:bCs/>
          <w:kern w:val="0"/>
          <w:sz w:val="24"/>
          <w:szCs w:val="24"/>
        </w:rPr>
        <w:t>Filtering and Onboarding Authentic Users:</w:t>
      </w:r>
      <w:r w:rsidRPr="0055506D">
        <w:rPr>
          <w:rFonts w:ascii="Arial" w:eastAsia="ＭＳ Ｐゴシック" w:hAnsi="Arial" w:cs="Arial"/>
          <w:kern w:val="0"/>
          <w:sz w:val="24"/>
          <w:szCs w:val="24"/>
        </w:rPr>
        <w:t xml:space="preserve"> By capturing verified human users through an engaging physical experience, brands can seamlessly guide them into registering legitimate digital accounts. Offering personalized rewards and digital coupons allows corporations to build and retain a proprietary audience pool completely independent of third-party video platforms or arbitrary ad networks. </w:t>
      </w:r>
    </w:p>
    <w:p w14:paraId="004DD8C4" w14:textId="77777777" w:rsidR="0055506D" w:rsidRPr="0055506D" w:rsidRDefault="0055506D" w:rsidP="0055506D">
      <w:pPr>
        <w:widowControl/>
        <w:spacing w:after="100" w:afterAutospacing="1"/>
        <w:jc w:val="left"/>
        <w:outlineLvl w:val="2"/>
        <w:rPr>
          <w:rFonts w:ascii="Arial" w:eastAsia="ＭＳ Ｐゴシック" w:hAnsi="Arial" w:cs="Arial"/>
          <w:b/>
          <w:bCs/>
          <w:kern w:val="0"/>
          <w:sz w:val="27"/>
          <w:szCs w:val="27"/>
        </w:rPr>
      </w:pPr>
      <w:r w:rsidRPr="0055506D">
        <w:rPr>
          <w:rFonts w:ascii="Arial" w:eastAsia="ＭＳ Ｐゴシック" w:hAnsi="Arial" w:cs="Arial"/>
          <w:b/>
          <w:bCs/>
          <w:kern w:val="0"/>
          <w:sz w:val="27"/>
          <w:szCs w:val="27"/>
        </w:rPr>
        <w:t>4. Operational Workflow (Campaign Execution Plan)</w:t>
      </w:r>
    </w:p>
    <w:p w14:paraId="45819039" w14:textId="77777777" w:rsidR="0055506D" w:rsidRPr="0055506D" w:rsidRDefault="0055506D" w:rsidP="0055506D">
      <w:pPr>
        <w:widowControl/>
        <w:spacing w:after="100" w:afterAutospacing="1"/>
        <w:jc w:val="left"/>
        <w:rPr>
          <w:rFonts w:ascii="Arial" w:eastAsia="ＭＳ Ｐゴシック" w:hAnsi="Arial" w:cs="Arial"/>
          <w:kern w:val="0"/>
          <w:sz w:val="24"/>
          <w:szCs w:val="24"/>
        </w:rPr>
      </w:pPr>
      <w:r w:rsidRPr="0055506D">
        <w:rPr>
          <w:rFonts w:ascii="Arial" w:eastAsia="ＭＳ Ｐゴシック" w:hAnsi="Arial" w:cs="Arial"/>
          <w:i/>
          <w:iCs/>
          <w:kern w:val="0"/>
          <w:sz w:val="24"/>
          <w:szCs w:val="24"/>
        </w:rPr>
        <w:t>Note: This specific case study is structured around the operational infrastructure of e-commerce platforms like Amazon.</w:t>
      </w:r>
    </w:p>
    <w:p w14:paraId="1686BD51" w14:textId="77777777" w:rsidR="0055506D" w:rsidRPr="0055506D" w:rsidRDefault="0055506D" w:rsidP="0055506D">
      <w:pPr>
        <w:widowControl/>
        <w:spacing w:after="100" w:afterAutospacing="1"/>
        <w:jc w:val="left"/>
        <w:outlineLvl w:val="3"/>
        <w:rPr>
          <w:rFonts w:ascii="Arial" w:eastAsia="ＭＳ Ｐゴシック" w:hAnsi="Arial" w:cs="Arial"/>
          <w:b/>
          <w:bCs/>
          <w:kern w:val="0"/>
          <w:sz w:val="24"/>
          <w:szCs w:val="24"/>
        </w:rPr>
      </w:pPr>
      <w:r w:rsidRPr="0055506D">
        <w:rPr>
          <w:rFonts w:ascii="Arial" w:eastAsia="ＭＳ Ｐゴシック" w:hAnsi="Arial" w:cs="Arial"/>
          <w:b/>
          <w:bCs/>
          <w:kern w:val="0"/>
          <w:sz w:val="24"/>
          <w:szCs w:val="24"/>
        </w:rPr>
        <w:t>Logistics and Materials:</w:t>
      </w:r>
    </w:p>
    <w:p w14:paraId="4A198FC9" w14:textId="77777777" w:rsidR="0055506D" w:rsidRPr="0055506D" w:rsidRDefault="0055506D" w:rsidP="0055506D">
      <w:pPr>
        <w:widowControl/>
        <w:numPr>
          <w:ilvl w:val="0"/>
          <w:numId w:val="3"/>
        </w:numPr>
        <w:spacing w:after="100" w:afterAutospacing="1"/>
        <w:jc w:val="left"/>
        <w:rPr>
          <w:rFonts w:ascii="Arial" w:eastAsia="ＭＳ Ｐゴシック" w:hAnsi="Arial" w:cs="Arial"/>
          <w:kern w:val="0"/>
          <w:sz w:val="24"/>
          <w:szCs w:val="24"/>
        </w:rPr>
      </w:pPr>
      <w:r w:rsidRPr="0055506D">
        <w:rPr>
          <w:rFonts w:ascii="Arial" w:eastAsia="ＭＳ Ｐゴシック" w:hAnsi="Arial" w:cs="Arial"/>
          <w:b/>
          <w:bCs/>
          <w:kern w:val="0"/>
          <w:sz w:val="24"/>
          <w:szCs w:val="24"/>
        </w:rPr>
        <w:t>Hardware Requirements:</w:t>
      </w:r>
      <w:r w:rsidRPr="0055506D">
        <w:rPr>
          <w:rFonts w:ascii="Arial" w:eastAsia="ＭＳ Ｐゴシック" w:hAnsi="Arial" w:cs="Arial"/>
          <w:kern w:val="0"/>
          <w:sz w:val="24"/>
          <w:szCs w:val="24"/>
        </w:rPr>
        <w:t xml:space="preserve"> Four standard mechanical capsule machines (or alternative stock holders/random lottery boxes), manufacturer-provided product samples (promotional items or winning tickets), four branded banner flags with heavy base weights (for passive impressions), and pre-packed capsule stocks filled directly by partner manufacturers. </w:t>
      </w:r>
    </w:p>
    <w:p w14:paraId="51ADF72C" w14:textId="77777777" w:rsidR="0055506D" w:rsidRPr="0055506D" w:rsidRDefault="0055506D" w:rsidP="0055506D">
      <w:pPr>
        <w:widowControl/>
        <w:numPr>
          <w:ilvl w:val="0"/>
          <w:numId w:val="3"/>
        </w:numPr>
        <w:spacing w:after="100" w:afterAutospacing="1"/>
        <w:jc w:val="left"/>
        <w:rPr>
          <w:rFonts w:ascii="Arial" w:eastAsia="ＭＳ Ｐゴシック" w:hAnsi="Arial" w:cs="Arial"/>
          <w:kern w:val="0"/>
          <w:sz w:val="24"/>
          <w:szCs w:val="24"/>
        </w:rPr>
      </w:pPr>
      <w:r w:rsidRPr="0055506D">
        <w:rPr>
          <w:rFonts w:ascii="Arial" w:eastAsia="ＭＳ Ｐゴシック" w:hAnsi="Arial" w:cs="Arial"/>
          <w:b/>
          <w:bCs/>
          <w:kern w:val="0"/>
          <w:sz w:val="24"/>
          <w:szCs w:val="24"/>
        </w:rPr>
        <w:t>Location Targeting:</w:t>
      </w:r>
      <w:r w:rsidRPr="0055506D">
        <w:rPr>
          <w:rFonts w:ascii="Arial" w:eastAsia="ＭＳ Ｐゴシック" w:hAnsi="Arial" w:cs="Arial"/>
          <w:kern w:val="0"/>
          <w:sz w:val="24"/>
          <w:szCs w:val="24"/>
        </w:rPr>
        <w:t xml:space="preserve"> Temporary installation over a few days in a central station corridor plaza with a daily daytime traffic baseline of roughly 7,000 commuters. The capsule machine serves as the primary hook to halt traffic, focusing exclusively on consumers who proactively approach the kiosk. Passive banner flags and signage are strategically arranged </w:t>
      </w:r>
      <w:r w:rsidRPr="0055506D">
        <w:rPr>
          <w:rFonts w:ascii="Arial" w:eastAsia="ＭＳ Ｐゴシック" w:hAnsi="Arial" w:cs="Arial"/>
          <w:kern w:val="0"/>
          <w:sz w:val="24"/>
          <w:szCs w:val="24"/>
        </w:rPr>
        <w:lastRenderedPageBreak/>
        <w:t xml:space="preserve">around stair landings and corners to capture high-volume peripheral ad impressions from passing commuters. </w:t>
      </w:r>
    </w:p>
    <w:p w14:paraId="19F03511" w14:textId="77777777" w:rsidR="0055506D" w:rsidRPr="0055506D" w:rsidRDefault="0055506D" w:rsidP="0055506D">
      <w:pPr>
        <w:widowControl/>
        <w:spacing w:after="100" w:afterAutospacing="1"/>
        <w:jc w:val="left"/>
        <w:outlineLvl w:val="3"/>
        <w:rPr>
          <w:rFonts w:ascii="Arial" w:eastAsia="ＭＳ Ｐゴシック" w:hAnsi="Arial" w:cs="Arial"/>
          <w:b/>
          <w:bCs/>
          <w:kern w:val="0"/>
          <w:sz w:val="24"/>
          <w:szCs w:val="24"/>
        </w:rPr>
      </w:pPr>
      <w:r w:rsidRPr="0055506D">
        <w:rPr>
          <w:rFonts w:ascii="Arial" w:eastAsia="ＭＳ Ｐゴシック" w:hAnsi="Arial" w:cs="Arial"/>
          <w:b/>
          <w:bCs/>
          <w:kern w:val="0"/>
          <w:sz w:val="24"/>
          <w:szCs w:val="24"/>
        </w:rPr>
        <w:t>The Two-Tier QR-to-Token Flow:</w:t>
      </w:r>
    </w:p>
    <w:p w14:paraId="2F309E1A" w14:textId="77777777" w:rsidR="0055506D" w:rsidRPr="0055506D" w:rsidRDefault="0055506D" w:rsidP="0055506D">
      <w:pPr>
        <w:widowControl/>
        <w:numPr>
          <w:ilvl w:val="0"/>
          <w:numId w:val="4"/>
        </w:numPr>
        <w:spacing w:after="100" w:afterAutospacing="1"/>
        <w:jc w:val="left"/>
        <w:rPr>
          <w:rFonts w:ascii="Arial" w:eastAsia="ＭＳ Ｐゴシック" w:hAnsi="Arial" w:cs="Arial"/>
          <w:kern w:val="0"/>
          <w:sz w:val="24"/>
          <w:szCs w:val="24"/>
        </w:rPr>
      </w:pPr>
      <w:r w:rsidRPr="0055506D">
        <w:rPr>
          <w:rFonts w:ascii="Arial" w:eastAsia="ＭＳ Ｐゴシック" w:hAnsi="Arial" w:cs="Arial"/>
          <w:kern w:val="0"/>
          <w:sz w:val="24"/>
          <w:szCs w:val="24"/>
        </w:rPr>
        <w:t xml:space="preserve">Staff distribute promotional cards featuring a unique QR code linked directly to an account-integrated product page. </w:t>
      </w:r>
    </w:p>
    <w:p w14:paraId="772E0583" w14:textId="77777777" w:rsidR="0055506D" w:rsidRPr="0055506D" w:rsidRDefault="0055506D" w:rsidP="0055506D">
      <w:pPr>
        <w:widowControl/>
        <w:numPr>
          <w:ilvl w:val="0"/>
          <w:numId w:val="4"/>
        </w:numPr>
        <w:spacing w:after="100" w:afterAutospacing="1"/>
        <w:jc w:val="left"/>
        <w:rPr>
          <w:rFonts w:ascii="Arial" w:eastAsia="ＭＳ Ｐゴシック" w:hAnsi="Arial" w:cs="Arial"/>
          <w:kern w:val="0"/>
          <w:sz w:val="24"/>
          <w:szCs w:val="24"/>
        </w:rPr>
      </w:pPr>
      <w:r w:rsidRPr="0055506D">
        <w:rPr>
          <w:rFonts w:ascii="Arial" w:eastAsia="ＭＳ Ｐゴシック" w:hAnsi="Arial" w:cs="Arial"/>
          <w:kern w:val="0"/>
          <w:sz w:val="24"/>
          <w:szCs w:val="24"/>
        </w:rPr>
        <w:t xml:space="preserve">Once a staff member scans the user’s mobile screen, they hand over a proprietary physical token to operate the machine. </w:t>
      </w:r>
    </w:p>
    <w:p w14:paraId="3B966A07" w14:textId="77777777" w:rsidR="0055506D" w:rsidRPr="0055506D" w:rsidRDefault="0055506D" w:rsidP="0055506D">
      <w:pPr>
        <w:widowControl/>
        <w:spacing w:after="100" w:afterAutospacing="1"/>
        <w:jc w:val="left"/>
        <w:rPr>
          <w:rFonts w:ascii="Arial" w:eastAsia="ＭＳ Ｐゴシック" w:hAnsi="Arial" w:cs="Arial"/>
          <w:kern w:val="0"/>
          <w:sz w:val="24"/>
          <w:szCs w:val="24"/>
        </w:rPr>
      </w:pPr>
      <w:r w:rsidRPr="0055506D">
        <w:rPr>
          <w:rFonts w:ascii="Arial" w:eastAsia="ＭＳ Ｐゴシック" w:hAnsi="Arial" w:cs="Arial"/>
          <w:kern w:val="0"/>
          <w:sz w:val="24"/>
          <w:szCs w:val="24"/>
        </w:rPr>
        <w:t xml:space="preserve">Distributing the QR code at the start of the interaction incentivizes immediate mobile registration on-site. This seamlessly converts an anonymous commuter into a tracked, high-value customer profile, recording exactly </w:t>
      </w:r>
      <w:r w:rsidRPr="0055506D">
        <w:rPr>
          <w:rFonts w:ascii="Arial" w:eastAsia="ＭＳ Ｐゴシック" w:hAnsi="Arial" w:cs="Arial"/>
          <w:i/>
          <w:iCs/>
          <w:kern w:val="0"/>
          <w:sz w:val="24"/>
          <w:szCs w:val="24"/>
        </w:rPr>
        <w:t>who</w:t>
      </w:r>
      <w:r w:rsidRPr="0055506D">
        <w:rPr>
          <w:rFonts w:ascii="Arial" w:eastAsia="ＭＳ Ｐゴシック" w:hAnsi="Arial" w:cs="Arial"/>
          <w:kern w:val="0"/>
          <w:sz w:val="24"/>
          <w:szCs w:val="24"/>
        </w:rPr>
        <w:t xml:space="preserve"> interacted with the brand, </w:t>
      </w:r>
      <w:r w:rsidRPr="0055506D">
        <w:rPr>
          <w:rFonts w:ascii="Arial" w:eastAsia="ＭＳ Ｐゴシック" w:hAnsi="Arial" w:cs="Arial"/>
          <w:i/>
          <w:iCs/>
          <w:kern w:val="0"/>
          <w:sz w:val="24"/>
          <w:szCs w:val="24"/>
        </w:rPr>
        <w:t>when</w:t>
      </w:r>
      <w:r w:rsidRPr="0055506D">
        <w:rPr>
          <w:rFonts w:ascii="Arial" w:eastAsia="ＭＳ Ｐゴシック" w:hAnsi="Arial" w:cs="Arial"/>
          <w:kern w:val="0"/>
          <w:sz w:val="24"/>
          <w:szCs w:val="24"/>
        </w:rPr>
        <w:t xml:space="preserve">, and </w:t>
      </w:r>
      <w:r w:rsidRPr="0055506D">
        <w:rPr>
          <w:rFonts w:ascii="Arial" w:eastAsia="ＭＳ Ｐゴシック" w:hAnsi="Arial" w:cs="Arial"/>
          <w:i/>
          <w:iCs/>
          <w:kern w:val="0"/>
          <w:sz w:val="24"/>
          <w:szCs w:val="24"/>
        </w:rPr>
        <w:t>where</w:t>
      </w:r>
      <w:r w:rsidRPr="0055506D">
        <w:rPr>
          <w:rFonts w:ascii="Arial" w:eastAsia="ＭＳ Ｐゴシック" w:hAnsi="Arial" w:cs="Arial"/>
          <w:kern w:val="0"/>
          <w:sz w:val="24"/>
          <w:szCs w:val="24"/>
        </w:rPr>
        <w:t xml:space="preserve">. </w:t>
      </w:r>
    </w:p>
    <w:p w14:paraId="146E56B4" w14:textId="77777777" w:rsidR="0055506D" w:rsidRPr="0055506D" w:rsidRDefault="0055506D" w:rsidP="0055506D">
      <w:pPr>
        <w:widowControl/>
        <w:spacing w:after="100" w:afterAutospacing="1"/>
        <w:jc w:val="left"/>
        <w:outlineLvl w:val="3"/>
        <w:rPr>
          <w:rFonts w:ascii="Arial" w:eastAsia="ＭＳ Ｐゴシック" w:hAnsi="Arial" w:cs="Arial"/>
          <w:b/>
          <w:bCs/>
          <w:kern w:val="0"/>
          <w:sz w:val="24"/>
          <w:szCs w:val="24"/>
        </w:rPr>
      </w:pPr>
      <w:r w:rsidRPr="0055506D">
        <w:rPr>
          <w:rFonts w:ascii="Arial" w:eastAsia="ＭＳ Ｐゴシック" w:hAnsi="Arial" w:cs="Arial"/>
          <w:b/>
          <w:bCs/>
          <w:kern w:val="0"/>
          <w:sz w:val="24"/>
          <w:szCs w:val="24"/>
        </w:rPr>
        <w:t>Integrating Physical Mechanics with E-Commerce Logistics:</w:t>
      </w:r>
    </w:p>
    <w:p w14:paraId="6800E7CB" w14:textId="77777777" w:rsidR="0055506D" w:rsidRPr="0055506D" w:rsidRDefault="0055506D" w:rsidP="0055506D">
      <w:pPr>
        <w:widowControl/>
        <w:spacing w:after="100" w:afterAutospacing="1"/>
        <w:jc w:val="left"/>
        <w:rPr>
          <w:rFonts w:ascii="Arial" w:eastAsia="ＭＳ Ｐゴシック" w:hAnsi="Arial" w:cs="Arial"/>
          <w:kern w:val="0"/>
          <w:sz w:val="24"/>
          <w:szCs w:val="24"/>
        </w:rPr>
      </w:pPr>
      <w:r w:rsidRPr="0055506D">
        <w:rPr>
          <w:rFonts w:ascii="Arial" w:eastAsia="ＭＳ Ｐゴシック" w:hAnsi="Arial" w:cs="Arial"/>
          <w:kern w:val="0"/>
          <w:sz w:val="24"/>
          <w:szCs w:val="24"/>
        </w:rPr>
        <w:t xml:space="preserve">Visitors choose between operating the capsule machine or retaining the physical token as a souvenir. On the e-commerce back-end, items listed on the product page are treated systematically as tokens (while the physical gift is handed over on-site). Because the transaction and customer contract are finalized the moment the sample changes hands, the system is designed to automatically trigger standard "Delivery Completed" confirmation emails to the user. For users who choose to take the physical token home, the token itself should be styled to serve as a collectible piece of brand memorabilia. </w:t>
      </w:r>
    </w:p>
    <w:p w14:paraId="05C93DA0" w14:textId="77777777" w:rsidR="0055506D" w:rsidRPr="0055506D" w:rsidRDefault="0055506D" w:rsidP="0055506D">
      <w:pPr>
        <w:widowControl/>
        <w:spacing w:after="100" w:afterAutospacing="1"/>
        <w:jc w:val="left"/>
        <w:outlineLvl w:val="3"/>
        <w:rPr>
          <w:rFonts w:ascii="Arial" w:eastAsia="ＭＳ Ｐゴシック" w:hAnsi="Arial" w:cs="Arial"/>
          <w:b/>
          <w:bCs/>
          <w:kern w:val="0"/>
          <w:sz w:val="24"/>
          <w:szCs w:val="24"/>
        </w:rPr>
      </w:pPr>
      <w:r w:rsidRPr="0055506D">
        <w:rPr>
          <w:rFonts w:ascii="Arial" w:eastAsia="ＭＳ Ｐゴシック" w:hAnsi="Arial" w:cs="Arial"/>
          <w:b/>
          <w:bCs/>
          <w:kern w:val="0"/>
          <w:sz w:val="24"/>
          <w:szCs w:val="24"/>
        </w:rPr>
        <w:t>Micro-Surveys and Demographic Mapping:</w:t>
      </w:r>
    </w:p>
    <w:p w14:paraId="144DE5AA" w14:textId="77777777" w:rsidR="0055506D" w:rsidRPr="0055506D" w:rsidRDefault="0055506D" w:rsidP="0055506D">
      <w:pPr>
        <w:widowControl/>
        <w:spacing w:after="100" w:afterAutospacing="1"/>
        <w:jc w:val="left"/>
        <w:rPr>
          <w:rFonts w:ascii="Arial" w:eastAsia="ＭＳ Ｐゴシック" w:hAnsi="Arial" w:cs="Arial"/>
          <w:kern w:val="0"/>
          <w:sz w:val="24"/>
          <w:szCs w:val="24"/>
        </w:rPr>
      </w:pPr>
      <w:r w:rsidRPr="0055506D">
        <w:rPr>
          <w:rFonts w:ascii="Arial" w:eastAsia="ＭＳ Ｐゴシック" w:hAnsi="Arial" w:cs="Arial"/>
          <w:kern w:val="0"/>
          <w:sz w:val="24"/>
          <w:szCs w:val="24"/>
        </w:rPr>
        <w:t xml:space="preserve">By stocking the machines with distinct variations of product samples, the platform can extract granular consumer preference data. </w:t>
      </w:r>
    </w:p>
    <w:p w14:paraId="0B7069A0" w14:textId="77777777" w:rsidR="0055506D" w:rsidRPr="0055506D" w:rsidRDefault="0055506D" w:rsidP="0055506D">
      <w:pPr>
        <w:widowControl/>
        <w:numPr>
          <w:ilvl w:val="0"/>
          <w:numId w:val="5"/>
        </w:numPr>
        <w:spacing w:after="100" w:afterAutospacing="1"/>
        <w:jc w:val="left"/>
        <w:rPr>
          <w:rFonts w:ascii="Arial" w:eastAsia="ＭＳ Ｐゴシック" w:hAnsi="Arial" w:cs="Arial"/>
          <w:kern w:val="0"/>
          <w:sz w:val="24"/>
          <w:szCs w:val="24"/>
        </w:rPr>
      </w:pPr>
      <w:r w:rsidRPr="0055506D">
        <w:rPr>
          <w:rFonts w:ascii="Arial" w:eastAsia="ＭＳ Ｐゴシック" w:hAnsi="Arial" w:cs="Arial"/>
          <w:i/>
          <w:iCs/>
          <w:kern w:val="0"/>
          <w:sz w:val="24"/>
          <w:szCs w:val="24"/>
        </w:rPr>
        <w:t>Example Configuration (Apparel Genre):</w:t>
      </w:r>
      <w:r w:rsidRPr="0055506D">
        <w:rPr>
          <w:rFonts w:ascii="Arial" w:eastAsia="ＭＳ Ｐゴシック" w:hAnsi="Arial" w:cs="Arial"/>
          <w:kern w:val="0"/>
          <w:sz w:val="24"/>
          <w:szCs w:val="24"/>
        </w:rPr>
        <w:t xml:space="preserve"> 5 high-end luxury items, 1 niche/specialty brand product, 1 mass-market brand item, and 1 lifestyle accessory item. </w:t>
      </w:r>
    </w:p>
    <w:p w14:paraId="7290E1CF" w14:textId="77777777" w:rsidR="0055506D" w:rsidRPr="0055506D" w:rsidRDefault="0055506D" w:rsidP="0055506D">
      <w:pPr>
        <w:widowControl/>
        <w:spacing w:after="100" w:afterAutospacing="1"/>
        <w:jc w:val="left"/>
        <w:rPr>
          <w:rFonts w:ascii="Arial" w:eastAsia="ＭＳ Ｐゴシック" w:hAnsi="Arial" w:cs="Arial"/>
          <w:kern w:val="0"/>
          <w:sz w:val="24"/>
          <w:szCs w:val="24"/>
        </w:rPr>
      </w:pPr>
      <w:r w:rsidRPr="0055506D">
        <w:rPr>
          <w:rFonts w:ascii="Arial" w:eastAsia="ＭＳ Ｐゴシック" w:hAnsi="Arial" w:cs="Arial"/>
          <w:kern w:val="0"/>
          <w:sz w:val="24"/>
          <w:szCs w:val="24"/>
        </w:rPr>
        <w:t xml:space="preserve">Tracking which items are selected allows the brand to measure regional consumer consciousness and share clean market insights with partner </w:t>
      </w:r>
      <w:r w:rsidRPr="0055506D">
        <w:rPr>
          <w:rFonts w:ascii="Arial" w:eastAsia="ＭＳ Ｐゴシック" w:hAnsi="Arial" w:cs="Arial"/>
          <w:kern w:val="0"/>
          <w:sz w:val="24"/>
          <w:szCs w:val="24"/>
        </w:rPr>
        <w:lastRenderedPageBreak/>
        <w:t xml:space="preserve">manufacturers. Because every interaction is tied to a verified digital profile, statistical margins of error are minimized. </w:t>
      </w:r>
    </w:p>
    <w:p w14:paraId="3B33B55D" w14:textId="77777777" w:rsidR="0055506D" w:rsidRPr="0055506D" w:rsidRDefault="0055506D" w:rsidP="0055506D">
      <w:pPr>
        <w:widowControl/>
        <w:spacing w:after="100" w:afterAutospacing="1"/>
        <w:jc w:val="left"/>
        <w:outlineLvl w:val="3"/>
        <w:rPr>
          <w:rFonts w:ascii="Arial" w:eastAsia="ＭＳ Ｐゴシック" w:hAnsi="Arial" w:cs="Arial"/>
          <w:b/>
          <w:bCs/>
          <w:kern w:val="0"/>
          <w:sz w:val="24"/>
          <w:szCs w:val="24"/>
        </w:rPr>
      </w:pPr>
      <w:r w:rsidRPr="0055506D">
        <w:rPr>
          <w:rFonts w:ascii="Arial" w:eastAsia="ＭＳ Ｐゴシック" w:hAnsi="Arial" w:cs="Arial"/>
          <w:b/>
          <w:bCs/>
          <w:kern w:val="0"/>
          <w:sz w:val="24"/>
          <w:szCs w:val="24"/>
        </w:rPr>
        <w:t>On-Site Staffing Allocation:</w:t>
      </w:r>
    </w:p>
    <w:p w14:paraId="49C191AB" w14:textId="77777777" w:rsidR="0055506D" w:rsidRPr="0055506D" w:rsidRDefault="0055506D" w:rsidP="0055506D">
      <w:pPr>
        <w:widowControl/>
        <w:spacing w:after="100" w:afterAutospacing="1"/>
        <w:jc w:val="left"/>
        <w:rPr>
          <w:rFonts w:ascii="Arial" w:eastAsia="ＭＳ Ｐゴシック" w:hAnsi="Arial" w:cs="Arial"/>
          <w:kern w:val="0"/>
          <w:sz w:val="24"/>
          <w:szCs w:val="24"/>
        </w:rPr>
      </w:pPr>
      <w:r w:rsidRPr="0055506D">
        <w:rPr>
          <w:rFonts w:ascii="Arial" w:eastAsia="ＭＳ Ｐゴシック" w:hAnsi="Arial" w:cs="Arial"/>
          <w:kern w:val="0"/>
          <w:sz w:val="24"/>
          <w:szCs w:val="24"/>
        </w:rPr>
        <w:t xml:space="preserve">A standard low-overhead activation requires an on-site crew of 3 to 4 personnel, organized into the following operational roles: </w:t>
      </w:r>
    </w:p>
    <w:p w14:paraId="21FE21A4" w14:textId="77777777" w:rsidR="0055506D" w:rsidRPr="0055506D" w:rsidRDefault="0055506D" w:rsidP="0055506D">
      <w:pPr>
        <w:widowControl/>
        <w:numPr>
          <w:ilvl w:val="0"/>
          <w:numId w:val="6"/>
        </w:numPr>
        <w:spacing w:after="100" w:afterAutospacing="1"/>
        <w:jc w:val="left"/>
        <w:rPr>
          <w:rFonts w:ascii="Arial" w:eastAsia="ＭＳ Ｐゴシック" w:hAnsi="Arial" w:cs="Arial"/>
          <w:kern w:val="0"/>
          <w:sz w:val="24"/>
          <w:szCs w:val="24"/>
        </w:rPr>
      </w:pPr>
      <w:r w:rsidRPr="0055506D">
        <w:rPr>
          <w:rFonts w:ascii="Arial" w:eastAsia="ＭＳ Ｐゴシック" w:hAnsi="Arial" w:cs="Arial"/>
          <w:b/>
          <w:bCs/>
          <w:kern w:val="0"/>
          <w:sz w:val="24"/>
          <w:szCs w:val="24"/>
        </w:rPr>
        <w:t>QR Verification &amp; Token Distribution:</w:t>
      </w:r>
      <w:r w:rsidRPr="0055506D">
        <w:rPr>
          <w:rFonts w:ascii="Arial" w:eastAsia="ＭＳ Ｐゴシック" w:hAnsi="Arial" w:cs="Arial"/>
          <w:kern w:val="0"/>
          <w:sz w:val="24"/>
          <w:szCs w:val="24"/>
        </w:rPr>
        <w:t xml:space="preserve"> 1 to 2 staff members. </w:t>
      </w:r>
    </w:p>
    <w:p w14:paraId="2D5D6639" w14:textId="77777777" w:rsidR="0055506D" w:rsidRPr="0055506D" w:rsidRDefault="0055506D" w:rsidP="0055506D">
      <w:pPr>
        <w:widowControl/>
        <w:numPr>
          <w:ilvl w:val="0"/>
          <w:numId w:val="6"/>
        </w:numPr>
        <w:spacing w:after="100" w:afterAutospacing="1"/>
        <w:jc w:val="left"/>
        <w:rPr>
          <w:rFonts w:ascii="Arial" w:eastAsia="ＭＳ Ｐゴシック" w:hAnsi="Arial" w:cs="Arial"/>
          <w:kern w:val="0"/>
          <w:sz w:val="24"/>
          <w:szCs w:val="24"/>
        </w:rPr>
      </w:pPr>
      <w:r w:rsidRPr="0055506D">
        <w:rPr>
          <w:rFonts w:ascii="Arial" w:eastAsia="ＭＳ Ｐゴシック" w:hAnsi="Arial" w:cs="Arial"/>
          <w:b/>
          <w:bCs/>
          <w:kern w:val="0"/>
          <w:sz w:val="24"/>
          <w:szCs w:val="24"/>
        </w:rPr>
        <w:t>New Account Onboarding &amp; Crowd Barking:</w:t>
      </w:r>
      <w:r w:rsidRPr="0055506D">
        <w:rPr>
          <w:rFonts w:ascii="Arial" w:eastAsia="ＭＳ Ｐゴシック" w:hAnsi="Arial" w:cs="Arial"/>
          <w:kern w:val="0"/>
          <w:sz w:val="24"/>
          <w:szCs w:val="24"/>
        </w:rPr>
        <w:t xml:space="preserve"> 1 staff member. </w:t>
      </w:r>
    </w:p>
    <w:p w14:paraId="732763C8" w14:textId="77777777" w:rsidR="0055506D" w:rsidRPr="0055506D" w:rsidRDefault="0055506D" w:rsidP="0055506D">
      <w:pPr>
        <w:widowControl/>
        <w:numPr>
          <w:ilvl w:val="0"/>
          <w:numId w:val="6"/>
        </w:numPr>
        <w:spacing w:after="100" w:afterAutospacing="1"/>
        <w:jc w:val="left"/>
        <w:rPr>
          <w:rFonts w:ascii="Arial" w:eastAsia="ＭＳ Ｐゴシック" w:hAnsi="Arial" w:cs="Arial"/>
          <w:kern w:val="0"/>
          <w:sz w:val="24"/>
          <w:szCs w:val="24"/>
        </w:rPr>
      </w:pPr>
      <w:r w:rsidRPr="0055506D">
        <w:rPr>
          <w:rFonts w:ascii="Arial" w:eastAsia="ＭＳ Ｐゴシック" w:hAnsi="Arial" w:cs="Arial"/>
          <w:b/>
          <w:bCs/>
          <w:kern w:val="0"/>
          <w:sz w:val="24"/>
          <w:szCs w:val="24"/>
        </w:rPr>
        <w:t>Inventory Control, Token Reclamation, &amp; Break Rotations:</w:t>
      </w:r>
      <w:r w:rsidRPr="0055506D">
        <w:rPr>
          <w:rFonts w:ascii="Arial" w:eastAsia="ＭＳ Ｐゴシック" w:hAnsi="Arial" w:cs="Arial"/>
          <w:kern w:val="0"/>
          <w:sz w:val="24"/>
          <w:szCs w:val="24"/>
        </w:rPr>
        <w:t xml:space="preserve"> 1 staff member. </w:t>
      </w:r>
    </w:p>
    <w:p w14:paraId="492BF002" w14:textId="77777777" w:rsidR="0055506D" w:rsidRPr="0055506D" w:rsidRDefault="0055506D" w:rsidP="0055506D">
      <w:pPr>
        <w:widowControl/>
        <w:spacing w:after="100" w:afterAutospacing="1"/>
        <w:jc w:val="left"/>
        <w:rPr>
          <w:rFonts w:ascii="Arial" w:eastAsia="ＭＳ Ｐゴシック" w:hAnsi="Arial" w:cs="Arial"/>
          <w:kern w:val="0"/>
          <w:sz w:val="24"/>
          <w:szCs w:val="24"/>
        </w:rPr>
      </w:pPr>
      <w:r w:rsidRPr="0055506D">
        <w:rPr>
          <w:rFonts w:ascii="Arial" w:eastAsia="ＭＳ Ｐゴシック" w:hAnsi="Arial" w:cs="Arial"/>
          <w:kern w:val="0"/>
          <w:sz w:val="24"/>
          <w:szCs w:val="24"/>
        </w:rPr>
        <w:t xml:space="preserve">(Design Note: If proprietary tokens are manufactured for the campaign, anti-counterfeiting measures may be required to prevent illicit tokens from entering the machines. Applying a distinct holographic brand sticker to the exterior of the token is a cost-effective way to create a unique tactile and visual profile.) </w:t>
      </w:r>
    </w:p>
    <w:p w14:paraId="35A35C69" w14:textId="77777777" w:rsidR="0055506D" w:rsidRPr="0055506D" w:rsidRDefault="0055506D" w:rsidP="0055506D">
      <w:pPr>
        <w:widowControl/>
        <w:spacing w:after="100" w:afterAutospacing="1"/>
        <w:jc w:val="left"/>
        <w:outlineLvl w:val="3"/>
        <w:rPr>
          <w:rFonts w:ascii="Arial" w:eastAsia="ＭＳ Ｐゴシック" w:hAnsi="Arial" w:cs="Arial"/>
          <w:b/>
          <w:bCs/>
          <w:kern w:val="0"/>
          <w:sz w:val="24"/>
          <w:szCs w:val="24"/>
        </w:rPr>
      </w:pPr>
      <w:r w:rsidRPr="0055506D">
        <w:rPr>
          <w:rFonts w:ascii="Arial" w:eastAsia="ＭＳ Ｐゴシック" w:hAnsi="Arial" w:cs="Arial"/>
          <w:b/>
          <w:bCs/>
          <w:kern w:val="0"/>
          <w:sz w:val="24"/>
          <w:szCs w:val="24"/>
        </w:rPr>
        <w:t>Projected Engagement Metrics:</w:t>
      </w:r>
    </w:p>
    <w:p w14:paraId="571D0042" w14:textId="77777777" w:rsidR="0055506D" w:rsidRPr="0055506D" w:rsidRDefault="0055506D" w:rsidP="0055506D">
      <w:pPr>
        <w:widowControl/>
        <w:spacing w:after="100" w:afterAutospacing="1"/>
        <w:jc w:val="left"/>
        <w:rPr>
          <w:rFonts w:ascii="Arial" w:eastAsia="ＭＳ Ｐゴシック" w:hAnsi="Arial" w:cs="Arial"/>
          <w:kern w:val="0"/>
          <w:sz w:val="24"/>
          <w:szCs w:val="24"/>
        </w:rPr>
      </w:pPr>
      <w:r w:rsidRPr="0055506D">
        <w:rPr>
          <w:rFonts w:ascii="Arial" w:eastAsia="ＭＳ Ｐゴシック" w:hAnsi="Arial" w:cs="Arial"/>
          <w:kern w:val="0"/>
          <w:sz w:val="24"/>
          <w:szCs w:val="24"/>
        </w:rPr>
        <w:t xml:space="preserve">Based on a standard real-world conversion baseline where 3% to 5% of foot traffic proactively halts for street-level promotions, an installation in a corridor with 7,000 daily commuters will generate approximately 200 to 350 high-intent, active human interactions per day. These figures represent high-purity, real-world engagement metrics that digital ad networks cannot replicate. </w:t>
      </w:r>
    </w:p>
    <w:p w14:paraId="0E9FD532" w14:textId="77777777" w:rsidR="0055506D" w:rsidRPr="0055506D" w:rsidRDefault="0055506D" w:rsidP="0055506D">
      <w:pPr>
        <w:widowControl/>
        <w:spacing w:after="100" w:afterAutospacing="1"/>
        <w:jc w:val="left"/>
        <w:outlineLvl w:val="2"/>
        <w:rPr>
          <w:rFonts w:ascii="Arial" w:eastAsia="ＭＳ Ｐゴシック" w:hAnsi="Arial" w:cs="Arial"/>
          <w:b/>
          <w:bCs/>
          <w:kern w:val="0"/>
          <w:sz w:val="27"/>
          <w:szCs w:val="27"/>
        </w:rPr>
      </w:pPr>
      <w:r w:rsidRPr="0055506D">
        <w:rPr>
          <w:rFonts w:ascii="Arial" w:eastAsia="ＭＳ Ｐゴシック" w:hAnsi="Arial" w:cs="Arial"/>
          <w:b/>
          <w:bCs/>
          <w:kern w:val="0"/>
          <w:sz w:val="27"/>
          <w:szCs w:val="27"/>
        </w:rPr>
        <w:t>5. Conclusion: Experiential Investment over Impression Procurement</w:t>
      </w:r>
    </w:p>
    <w:p w14:paraId="24C2A440" w14:textId="77777777" w:rsidR="0055506D" w:rsidRPr="0055506D" w:rsidRDefault="0055506D" w:rsidP="0055506D">
      <w:pPr>
        <w:widowControl/>
        <w:spacing w:after="100" w:afterAutospacing="1"/>
        <w:jc w:val="left"/>
        <w:rPr>
          <w:rFonts w:ascii="Arial" w:eastAsia="ＭＳ Ｐゴシック" w:hAnsi="Arial" w:cs="Arial"/>
          <w:kern w:val="0"/>
          <w:sz w:val="24"/>
          <w:szCs w:val="24"/>
        </w:rPr>
      </w:pPr>
      <w:r w:rsidRPr="0055506D">
        <w:rPr>
          <w:rFonts w:ascii="Arial" w:eastAsia="ＭＳ Ｐゴシック" w:hAnsi="Arial" w:cs="Arial"/>
          <w:kern w:val="0"/>
          <w:sz w:val="24"/>
          <w:szCs w:val="24"/>
        </w:rPr>
        <w:t xml:space="preserve">This framework reallocates corporate marketing budgets away from buying hollow digital impressions and redirects it into funding tangible consumer experiences. By combining digital system corrections (defending existing platforms) with physical user acquisition (building independent channels), corporations can construct a transparent, hybrid economic ecosystem completely insulated from automated bot activity. This multi-dimensional approach frees brands from absolute reliance on major platform algorithms. </w:t>
      </w:r>
    </w:p>
    <w:p w14:paraId="5A23F0DB" w14:textId="77777777" w:rsidR="0055506D" w:rsidRPr="0055506D" w:rsidRDefault="0055506D" w:rsidP="0055506D">
      <w:pPr>
        <w:widowControl/>
        <w:spacing w:after="100" w:afterAutospacing="1"/>
        <w:jc w:val="left"/>
        <w:outlineLvl w:val="3"/>
        <w:rPr>
          <w:rFonts w:ascii="Arial" w:eastAsia="ＭＳ Ｐゴシック" w:hAnsi="Arial" w:cs="Arial"/>
          <w:b/>
          <w:bCs/>
          <w:kern w:val="0"/>
          <w:sz w:val="24"/>
          <w:szCs w:val="24"/>
        </w:rPr>
      </w:pPr>
      <w:r w:rsidRPr="0055506D">
        <w:rPr>
          <w:rFonts w:ascii="Arial" w:eastAsia="ＭＳ Ｐゴシック" w:hAnsi="Arial" w:cs="Arial"/>
          <w:b/>
          <w:bCs/>
          <w:kern w:val="0"/>
          <w:sz w:val="24"/>
          <w:szCs w:val="24"/>
        </w:rPr>
        <w:t>System Alignment: Correction and Independence Working in Tandem</w:t>
      </w:r>
    </w:p>
    <w:p w14:paraId="2FDBF7F2" w14:textId="77777777" w:rsidR="0055506D" w:rsidRPr="0055506D" w:rsidRDefault="0055506D" w:rsidP="0055506D">
      <w:pPr>
        <w:widowControl/>
        <w:spacing w:after="100" w:afterAutospacing="1"/>
        <w:jc w:val="left"/>
        <w:rPr>
          <w:rFonts w:ascii="Arial" w:eastAsia="ＭＳ Ｐゴシック" w:hAnsi="Arial" w:cs="Arial"/>
          <w:kern w:val="0"/>
          <w:sz w:val="24"/>
          <w:szCs w:val="24"/>
        </w:rPr>
      </w:pPr>
      <w:r w:rsidRPr="0055506D">
        <w:rPr>
          <w:rFonts w:ascii="Arial" w:eastAsia="ＭＳ Ｐゴシック" w:hAnsi="Arial" w:cs="Arial"/>
          <w:kern w:val="0"/>
          <w:sz w:val="24"/>
          <w:szCs w:val="24"/>
        </w:rPr>
        <w:lastRenderedPageBreak/>
        <w:t xml:space="preserve">The digital platform correction models and this physical acquisition framework do not contradict one another; they are designed to operate in tandem. Correcting platform metrics cleanses the existing ecosystem, while this physical onboarding method builds an independent consumer funnel. This lets brands channel highly passionate, premium user groups directly into their core ecosystems, serving as a comprehensive marketing strategy. </w:t>
      </w:r>
    </w:p>
    <w:p w14:paraId="24C3D875" w14:textId="77777777" w:rsidR="0055506D" w:rsidRPr="0055506D" w:rsidRDefault="0055506D" w:rsidP="0055506D">
      <w:pPr>
        <w:widowControl/>
        <w:spacing w:after="100" w:afterAutospacing="1"/>
        <w:jc w:val="left"/>
        <w:outlineLvl w:val="3"/>
        <w:rPr>
          <w:rFonts w:ascii="Arial" w:eastAsia="ＭＳ Ｐゴシック" w:hAnsi="Arial" w:cs="Arial"/>
          <w:b/>
          <w:bCs/>
          <w:kern w:val="0"/>
          <w:sz w:val="24"/>
          <w:szCs w:val="24"/>
        </w:rPr>
      </w:pPr>
      <w:r w:rsidRPr="0055506D">
        <w:rPr>
          <w:rFonts w:ascii="Arial" w:eastAsia="ＭＳ Ｐゴシック" w:hAnsi="Arial" w:cs="Arial"/>
          <w:b/>
          <w:bCs/>
          <w:kern w:val="0"/>
          <w:sz w:val="24"/>
          <w:szCs w:val="24"/>
        </w:rPr>
        <w:t>Addendum: Low-Tech Data Purity</w:t>
      </w:r>
    </w:p>
    <w:p w14:paraId="0853B64E" w14:textId="77777777" w:rsidR="0055506D" w:rsidRPr="0055506D" w:rsidRDefault="0055506D" w:rsidP="0055506D">
      <w:pPr>
        <w:widowControl/>
        <w:spacing w:after="100" w:afterAutospacing="1"/>
        <w:jc w:val="left"/>
        <w:rPr>
          <w:rFonts w:ascii="Arial" w:eastAsia="ＭＳ Ｐゴシック" w:hAnsi="Arial" w:cs="Arial"/>
          <w:kern w:val="0"/>
          <w:sz w:val="24"/>
          <w:szCs w:val="24"/>
        </w:rPr>
      </w:pPr>
      <w:r w:rsidRPr="0055506D">
        <w:rPr>
          <w:rFonts w:ascii="Arial" w:eastAsia="ＭＳ Ｐゴシック" w:hAnsi="Arial" w:cs="Arial"/>
          <w:kern w:val="0"/>
          <w:sz w:val="24"/>
          <w:szCs w:val="24"/>
        </w:rPr>
        <w:t xml:space="preserve">This operational scheme achieves data purity through a manual, low-tech workflow: eliminating duplicate sign-ups via unique account IDs, distributing physical tokens by hand, obscuring individual data profiling on-site via the random mechanics of the vending machine, and compiling survey data manually to execute regional market analyses. By design, this system does not rely on complex, automated software engineering. While these protocols adapt methods that have existed for decades, certain combinations may overlap with active corporate patents; corporate legal departments should review regional compliance frameworks prior to execution. Finally, while this document outlines a capsule vending machine setup, the core workflow adapts identically to industrial stock holders, prize dispensers, or random draw boxes. </w:t>
      </w:r>
    </w:p>
    <w:p w14:paraId="325DCD7D" w14:textId="77777777" w:rsidR="001B2004" w:rsidRPr="0055506D" w:rsidRDefault="001B2004"/>
    <w:sectPr w:rsidR="001B2004" w:rsidRPr="0055506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F3B2C" w14:textId="77777777" w:rsidR="000C3DEF" w:rsidRDefault="000C3DEF" w:rsidP="0055506D">
      <w:r>
        <w:separator/>
      </w:r>
    </w:p>
  </w:endnote>
  <w:endnote w:type="continuationSeparator" w:id="0">
    <w:p w14:paraId="2A8EB77F" w14:textId="77777777" w:rsidR="000C3DEF" w:rsidRDefault="000C3DEF" w:rsidP="00555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14D70" w14:textId="77777777" w:rsidR="000C3DEF" w:rsidRDefault="000C3DEF" w:rsidP="0055506D">
      <w:r>
        <w:separator/>
      </w:r>
    </w:p>
  </w:footnote>
  <w:footnote w:type="continuationSeparator" w:id="0">
    <w:p w14:paraId="7865B2CA" w14:textId="77777777" w:rsidR="000C3DEF" w:rsidRDefault="000C3DEF" w:rsidP="005550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7FBC"/>
    <w:multiLevelType w:val="multilevel"/>
    <w:tmpl w:val="5562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34402"/>
    <w:multiLevelType w:val="multilevel"/>
    <w:tmpl w:val="8774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627F6"/>
    <w:multiLevelType w:val="multilevel"/>
    <w:tmpl w:val="9D98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B5401"/>
    <w:multiLevelType w:val="multilevel"/>
    <w:tmpl w:val="BDA0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A6313"/>
    <w:multiLevelType w:val="multilevel"/>
    <w:tmpl w:val="13A88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1078D0"/>
    <w:multiLevelType w:val="multilevel"/>
    <w:tmpl w:val="3BD8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868868">
    <w:abstractNumId w:val="1"/>
  </w:num>
  <w:num w:numId="2" w16cid:durableId="1667249129">
    <w:abstractNumId w:val="0"/>
  </w:num>
  <w:num w:numId="3" w16cid:durableId="2106995807">
    <w:abstractNumId w:val="3"/>
  </w:num>
  <w:num w:numId="4" w16cid:durableId="135535369">
    <w:abstractNumId w:val="4"/>
  </w:num>
  <w:num w:numId="5" w16cid:durableId="669723717">
    <w:abstractNumId w:val="5"/>
  </w:num>
  <w:num w:numId="6" w16cid:durableId="723524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FC"/>
    <w:rsid w:val="000C3DEF"/>
    <w:rsid w:val="001B2004"/>
    <w:rsid w:val="0055506D"/>
    <w:rsid w:val="00A060FC"/>
    <w:rsid w:val="00CA6EAD"/>
    <w:rsid w:val="00D56B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chartTrackingRefBased/>
  <w15:docId w15:val="{BB38A3A0-EAA2-4166-ABBA-657D4BD6C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060F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060F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060F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060F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060F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060F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060F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060F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060F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060F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060F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060F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060F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060F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060F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060F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060F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060F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060F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060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60F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060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60FC"/>
    <w:pPr>
      <w:spacing w:before="160" w:after="160"/>
      <w:jc w:val="center"/>
    </w:pPr>
    <w:rPr>
      <w:i/>
      <w:iCs/>
      <w:color w:val="404040" w:themeColor="text1" w:themeTint="BF"/>
    </w:rPr>
  </w:style>
  <w:style w:type="character" w:customStyle="1" w:styleId="a8">
    <w:name w:val="引用文 (文字)"/>
    <w:basedOn w:val="a0"/>
    <w:link w:val="a7"/>
    <w:uiPriority w:val="29"/>
    <w:rsid w:val="00A060FC"/>
    <w:rPr>
      <w:i/>
      <w:iCs/>
      <w:color w:val="404040" w:themeColor="text1" w:themeTint="BF"/>
    </w:rPr>
  </w:style>
  <w:style w:type="paragraph" w:styleId="a9">
    <w:name w:val="List Paragraph"/>
    <w:basedOn w:val="a"/>
    <w:uiPriority w:val="34"/>
    <w:qFormat/>
    <w:rsid w:val="00A060FC"/>
    <w:pPr>
      <w:ind w:left="720"/>
      <w:contextualSpacing/>
    </w:pPr>
  </w:style>
  <w:style w:type="character" w:styleId="21">
    <w:name w:val="Intense Emphasis"/>
    <w:basedOn w:val="a0"/>
    <w:uiPriority w:val="21"/>
    <w:qFormat/>
    <w:rsid w:val="00A060FC"/>
    <w:rPr>
      <w:i/>
      <w:iCs/>
      <w:color w:val="0F4761" w:themeColor="accent1" w:themeShade="BF"/>
    </w:rPr>
  </w:style>
  <w:style w:type="paragraph" w:styleId="22">
    <w:name w:val="Intense Quote"/>
    <w:basedOn w:val="a"/>
    <w:next w:val="a"/>
    <w:link w:val="23"/>
    <w:uiPriority w:val="30"/>
    <w:qFormat/>
    <w:rsid w:val="00A06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060FC"/>
    <w:rPr>
      <w:i/>
      <w:iCs/>
      <w:color w:val="0F4761" w:themeColor="accent1" w:themeShade="BF"/>
    </w:rPr>
  </w:style>
  <w:style w:type="character" w:styleId="24">
    <w:name w:val="Intense Reference"/>
    <w:basedOn w:val="a0"/>
    <w:uiPriority w:val="32"/>
    <w:qFormat/>
    <w:rsid w:val="00A060FC"/>
    <w:rPr>
      <w:b/>
      <w:bCs/>
      <w:smallCaps/>
      <w:color w:val="0F4761" w:themeColor="accent1" w:themeShade="BF"/>
      <w:spacing w:val="5"/>
    </w:rPr>
  </w:style>
  <w:style w:type="paragraph" w:styleId="aa">
    <w:name w:val="header"/>
    <w:basedOn w:val="a"/>
    <w:link w:val="ab"/>
    <w:uiPriority w:val="99"/>
    <w:unhideWhenUsed/>
    <w:rsid w:val="0055506D"/>
    <w:pPr>
      <w:tabs>
        <w:tab w:val="center" w:pos="4252"/>
        <w:tab w:val="right" w:pos="8504"/>
      </w:tabs>
      <w:snapToGrid w:val="0"/>
    </w:pPr>
  </w:style>
  <w:style w:type="character" w:customStyle="1" w:styleId="ab">
    <w:name w:val="ヘッダー (文字)"/>
    <w:basedOn w:val="a0"/>
    <w:link w:val="aa"/>
    <w:uiPriority w:val="99"/>
    <w:rsid w:val="0055506D"/>
  </w:style>
  <w:style w:type="paragraph" w:styleId="ac">
    <w:name w:val="footer"/>
    <w:basedOn w:val="a"/>
    <w:link w:val="ad"/>
    <w:uiPriority w:val="99"/>
    <w:unhideWhenUsed/>
    <w:rsid w:val="0055506D"/>
    <w:pPr>
      <w:tabs>
        <w:tab w:val="center" w:pos="4252"/>
        <w:tab w:val="right" w:pos="8504"/>
      </w:tabs>
      <w:snapToGrid w:val="0"/>
    </w:pPr>
  </w:style>
  <w:style w:type="character" w:customStyle="1" w:styleId="ad">
    <w:name w:val="フッター (文字)"/>
    <w:basedOn w:val="a0"/>
    <w:link w:val="ac"/>
    <w:uiPriority w:val="99"/>
    <w:rsid w:val="005550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1265</Words>
  <Characters>7217</Characters>
  <Application>Microsoft Office Word</Application>
  <DocSecurity>0</DocSecurity>
  <Lines>60</Lines>
  <Paragraphs>16</Paragraphs>
  <ScaleCrop>false</ScaleCrop>
  <Company/>
  <LinksUpToDate>false</LinksUpToDate>
  <CharactersWithSpaces>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2</cp:revision>
  <dcterms:created xsi:type="dcterms:W3CDTF">2026-07-08T06:36:00Z</dcterms:created>
  <dcterms:modified xsi:type="dcterms:W3CDTF">2026-07-08T06:38:00Z</dcterms:modified>
</cp:coreProperties>
</file>