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Integrated Chassis Control</w:t>
      </w:r>
    </w:p>
    <w:p>
      <w:pPr>
        <w:jc w:val="center"/>
      </w:pPr>
      <w:r>
        <w:rPr>
          <w:b/>
          <w:color w:val="404040"/>
          <w:sz w:val="36"/>
        </w:rPr>
        <w:t>Test Protocol — Standard Scenarios · KPIs · Implementation Plan</w:t>
      </w:r>
    </w:p>
    <w:p>
      <w:pPr>
        <w:jc w:val="center"/>
      </w:pPr>
      <w:r>
        <w:br/>
      </w:r>
      <w:r>
        <w:rPr>
          <w:i/>
        </w:rPr>
        <w:t>Scope: Longitudinal + Lateral + Vertical Integrated Chassis Control</w:t>
        <w:br/>
      </w:r>
      <w:r>
        <w:rPr>
          <w:i/>
        </w:rPr>
        <w:t>Categories: A (Lateral) · B (Longitudinal) · C (Vertical) · D (Integration)</w:t>
        <w:br/>
      </w:r>
      <w:r>
        <w:rPr>
          <w:i/>
        </w:rPr>
        <w:t>Total Scenarios: 26 across 4 categories</w:t>
        <w:br/>
      </w:r>
      <w:r>
        <w:rPr>
          <w:i/>
        </w:rPr>
        <w:t>References: ISO, UN-R, NHTSA FMVSS</w:t>
        <w:br/>
      </w:r>
      <w:r>
        <w:rPr>
          <w:i/>
        </w:rPr>
        <w:t>Report Date: 2026-05-23</w:t>
        <w:br/>
      </w:r>
    </w:p>
    <w:p>
      <w:r>
        <w:br w:type="page"/>
      </w:r>
    </w:p>
    <w:p>
      <w:pPr>
        <w:pStyle w:val="Title"/>
      </w:pPr>
      <w:r>
        <w:rPr>
          <w:color w:val="1F3A6E"/>
        </w:rPr>
        <w:t>ICC Test Protocol — 표준 시나리오 · KPI · 시뮬레이션 구현 계획</w:t>
      </w:r>
    </w:p>
    <w:p>
      <w:r>
        <w:rPr>
          <w:b/>
        </w:rPr>
        <w:t>ICC 정의</w:t>
      </w:r>
      <w:r>
        <w:t xml:space="preserve">: Integrated Chassis Control — </w:t>
      </w:r>
      <w:r>
        <w:rPr>
          <w:b/>
        </w:rPr>
        <w:t>종방향 · 횡방향 · 수직방향의 종합적인 샤시 제어</w:t>
      </w:r>
      <w:r>
        <w:t xml:space="preserve">. 대상 서브시스템: ABS, ESC/VDC, AFS, CDC (반능동 서스), TVS/TC, EBD. 그들의 </w:t>
      </w:r>
      <w:r>
        <w:rPr>
          <w:b/>
        </w:rPr>
        <w:t>통합 조율 (coordinator) 설계와 검증</w:t>
      </w:r>
      <w:r>
        <w:t>이 핵심. ADAS 레이어 (AEB, ACC, LKAS — 인지/상위 의사결정)는 별건이며 본 프로토콜 범위 밖.</w:t>
      </w:r>
    </w:p>
    <w:p>
      <w:r>
        <w:rPr>
          <w:b/>
        </w:rPr>
        <w:t>Scope</w:t>
      </w:r>
      <w:r>
        <w:t>: 제어기 설계 진입 전 ICC 검증을 위한 산업/규제 표준 시나리오 정리. 각 시나리오의 KPI 정의 + 현재 MATLAB 시뮬레이션 프레임워크에서의 구현 가능성 평가 + 단계별 구현 계획.</w:t>
      </w:r>
    </w:p>
    <w:p>
      <w:r>
        <w:rPr>
          <w:b/>
        </w:rPr>
        <w:t>참조 표준 (ICC 범위)</w:t>
      </w:r>
      <w:r>
        <w:t>: ISO (3888, 4138, 7401, 7975, 8608, 14512, 19365, 21994, 2631), UN-R 13H/79, NHTSA FMVSS 126, OEM 내부 ride 사양.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1. 시나리오 분류</w:t>
      </w:r>
    </w:p>
    <w:p>
      <w:r>
        <w:t xml:space="preserve">ICC는 다음 4축으로 검증한다. </w:t>
      </w:r>
      <w:r>
        <w:rPr>
          <w:b/>
        </w:rPr>
        <w:t>종/횡/수직 + 통합</w:t>
      </w:r>
      <w:r>
        <w:t xml:space="preserve"> — 통합 카테고리(D)가 ICC의 본질적 검증.</w:t>
      </w:r>
    </w:p>
    <w:p>
      <w:pPr>
        <w:pStyle w:val="ListBullet"/>
      </w:pPr>
      <w:r>
        <w:rPr>
          <w:b/>
        </w:rPr>
        <w:t>Category A</w:t>
      </w:r>
      <w:r>
        <w:t>: 횡방향 (ESC/VDC, AFS, TVS)</w:t>
      </w:r>
    </w:p>
    <w:p>
      <w:pPr>
        <w:pStyle w:val="ListBullet"/>
      </w:pPr>
      <w:r>
        <w:rPr>
          <w:b/>
        </w:rPr>
        <w:t>Category B</w:t>
      </w:r>
      <w:r>
        <w:t xml:space="preserve">: 종방향 (ABS, EBD, TC) — </w:t>
      </w:r>
      <w:r>
        <w:rPr>
          <w:b/>
        </w:rPr>
        <w:t>AEB/ACC 등 ADAS는 제외</w:t>
      </w:r>
    </w:p>
    <w:p>
      <w:pPr>
        <w:pStyle w:val="ListBullet"/>
      </w:pPr>
      <w:r>
        <w:rPr>
          <w:b/>
        </w:rPr>
        <w:t>Category C</w:t>
      </w:r>
      <w:r>
        <w:t>: 수직 (CDC, 반능동/능동 서스)</w:t>
      </w:r>
    </w:p>
    <w:p>
      <w:pPr>
        <w:pStyle w:val="ListBullet"/>
      </w:pPr>
      <w:r>
        <w:rPr>
          <w:b/>
        </w:rPr>
        <w:t>Category D</w:t>
      </w:r>
      <w:r>
        <w:t xml:space="preserve">: </w:t>
      </w:r>
      <w:r>
        <w:rPr>
          <w:b/>
        </w:rPr>
        <w:t>통합</w:t>
      </w:r>
      <w:r>
        <w:t xml:space="preserve"> (multi-axis simultaneous control — ICC 핵심 검증)</w:t>
      </w:r>
    </w:p>
    <w:p>
      <w:pPr>
        <w:pStyle w:val="Heading2"/>
      </w:pPr>
      <w:r>
        <w:rPr>
          <w:color w:val="1F3A6E"/>
        </w:rPr>
        <w:t>Category A. 횡방향 (ESC / VDC / AFS)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DLC (Double Lane Change) at 80 km/h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3888-1:2018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일반 핸들링, 차선 변경 능력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DLC severe / Moose test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3888-2:2011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회피 기동, 한계 핸들링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Step Steer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7401:2011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횡 transient 응답 (rise time, overshoot, settling)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Steady-State Circular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4138:2021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정상상태 understeer/oversteer 특성, ay-vs-δ 곡선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Sine with Dwell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NHTSA FMVSS 126 / ISO 19365:2016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인증 — Yaw rate 1초 후/1.75초 후 감쇠율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A6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Sinusoidal Steer Sweep (Random)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7401:2011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주파수 응답 (yaw rate gain, 위상)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A7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Brake-in-Turn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7975:2019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통합 — 곡선 중 제동 시 안정성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A8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J-Turn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NHTSA NCAP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rollover 한계 평가 (SUV 위주)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9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1_dl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A1 DLC</w:t>
      </w:r>
    </w:p>
    <w:p>
      <w:r>
        <w:rPr>
          <w:i/>
        </w:rPr>
        <w:t>Figure A1 — ISO 3888-1 DLC: 콘 배치 (12 m + 13.5 m offset + 12 m), 차선폭 1.1·b+0.25 ≈ 2.23 m; 운전자 조향 입력은 ±3° 사인 시퀀스.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9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2_severe_dl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A2 Severe DLC</w:t>
      </w:r>
    </w:p>
    <w:p>
      <w:r>
        <w:rPr>
          <w:i/>
        </w:rPr>
        <w:t>Figure A2 — ISO 3888-2 (좁은 lane width로 회피 능력 강도 증가).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5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3_step_ste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A3 Step</w:t>
      </w:r>
    </w:p>
    <w:p>
      <w:r>
        <w:rPr>
          <w:i/>
        </w:rPr>
        <w:t>Figure A3 — Step steer 입력과 yaw rate 응답: rise time (10–90%), overshoot, ±2% settling band.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7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4_ss_circu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A4 SS</w:t>
      </w:r>
    </w:p>
    <w:p>
      <w:r>
        <w:rPr>
          <w:i/>
        </w:rPr>
        <w:t>Figure A4 — 정상상태 원선회 R=50 m; 속도 증가에 따른 δ 증가율이 understeer gradient.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5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5_sine_dw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A5 Sine-with-Dwell</w:t>
      </w:r>
    </w:p>
    <w:p>
      <w:r>
        <w:rPr>
          <w:i/>
        </w:rPr>
        <w:t>Figure A5 — FMVSS 126 sine-with-dwell: 0.7 Hz sine + 0.5 s dwell at 2nd peak. ESC 개입 후 BOS+1.0/1.75 s 시점 yaw rate 측정.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7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6_sine_sw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A6 Sweep</w:t>
      </w:r>
    </w:p>
    <w:p>
      <w:r>
        <w:rPr>
          <w:i/>
        </w:rPr>
        <w:t>Figure A6 — 선형 chirp 0.1→1.1 Hz 조향 sweep, frequency response (Bode) 분석용.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56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A7_brake_in_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A7 BIT</w:t>
      </w:r>
    </w:p>
    <w:p>
      <w:r>
        <w:rPr>
          <w:i/>
        </w:rPr>
        <w:t>Figure A7 — ISO 7975 Brake-in-Turn: 정상 선회 중 t=2 s에 0.4 g brake step 인가.</w:t>
      </w:r>
    </w:p>
    <w:p>
      <w:pPr>
        <w:pStyle w:val="Heading2"/>
      </w:pPr>
      <w:r>
        <w:rPr>
          <w:color w:val="1F3A6E"/>
        </w:rPr>
        <w:t>Category B. 종방향 (ABS / EBD / TC)</w:t>
      </w:r>
    </w:p>
    <w:p>
      <w:r>
        <w:t xml:space="preserve">ICC 범위는 </w:t>
      </w:r>
      <w:r>
        <w:rPr>
          <w:b/>
        </w:rPr>
        <w:t>샤시 레벨 제동/구동 제어</w:t>
      </w:r>
      <w:r>
        <w:t>까지. AEB/ACC 등 ADAS (인지+계획) 검증은 별도 프로토콜로 분리.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Straight-Line Braking (고 μ)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21994:2007, UN-R 13H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제동거리, 제동 안정성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Straight-Line Braking (저 μ, 빙판)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21994:2007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ABS 효율, μ 활용도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Split-μ Braking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14512:1999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μ 비대칭 시 ABS + ESC 통합 (yaw 안정성)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Brake Pedal Step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사내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제동 transient (rise time, peak decel)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Tip-in Acceleration on 저-μ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(TC 시험)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TC 휠 슬립 제한, ay carry-over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B6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Wheel Lift Recovery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21994:2007 부속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한 휠 lift 시 ABS 거동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9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B1_straight_bra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B1 Brake</w:t>
      </w:r>
    </w:p>
    <w:p>
      <w:r>
        <w:rPr>
          <w:i/>
        </w:rPr>
        <w:t>Figure B1 — ISO 21994 직진 제동: 100→0 km/h, 100 bar 브레이크 step. KPI: stopping distance, MFDD, max jerk.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34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B3_split_m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B3 Split-μ</w:t>
      </w:r>
    </w:p>
    <w:p>
      <w:r>
        <w:rPr>
          <w:i/>
        </w:rPr>
        <w:t>Figure B3 — ISO 14512 split-μ: 좌/우 μ가 서로 다른 노면에서 직진 제동, 비대칭 brake force가 yaw moment 유발. ESC+ABS 통합 평가.</w:t>
      </w:r>
    </w:p>
    <w:p>
      <w:pPr>
        <w:pStyle w:val="Heading2"/>
      </w:pPr>
      <w:r>
        <w:rPr>
          <w:color w:val="1F3A6E"/>
        </w:rPr>
        <w:t>Category C. 수직 (CDC / Active Suspension)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Single Bump (Pothole)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8608:2016, OEM 사양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충격 흡수, peak suspension travel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Sinusoidal Sweep (0.1–25 Hz)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ride sweep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wheel-hop / body-bounce 분리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Random Road (Class A/B/C)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8608:2016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노면 거칠기 따른 ride RMS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Belgian Block / Cobblestone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endurance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고주파 노면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Skyhook step (CDC)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댐핑 명령 transient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19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C1_bu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C1 Bump</w:t>
      </w:r>
    </w:p>
    <w:p>
      <w:r>
        <w:rPr>
          <w:i/>
        </w:rPr>
        <w:t>Figure C1 — Cosine bump (80 mm 높이, 1.5 m 길이); vx = 30 km/h 통과 시 wheel 입력.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71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C3_random_r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C3 Random Road</w:t>
      </w:r>
    </w:p>
    <w:p>
      <w:r>
        <w:rPr>
          <w:i/>
        </w:rPr>
        <w:t>Figure C3 — ISO 8608 PSD 기반 합성 노면 프로파일 (Class A/B/C). Gd(n₀) 값은 클래스 4배 간격 (A=16e-6, B=64e-6, ...).</w:t>
      </w:r>
    </w:p>
    <w:p>
      <w:pPr>
        <w:pStyle w:val="Heading2"/>
      </w:pPr>
      <w:r>
        <w:rPr>
          <w:color w:val="1F3A6E"/>
        </w:rPr>
        <w:t>Category D. 통합 / Integration (ICC 핵심)</w:t>
      </w:r>
    </w:p>
    <w:p>
      <w:r>
        <w:t xml:space="preserve">종/횡/수직 동시 작동 시 coordinator의 충돌 해소와 안정성 검증. </w:t>
      </w:r>
      <w:r>
        <w:rPr>
          <w:b/>
        </w:rPr>
        <w:t>ICC 설계의 핵심 검증 카테고리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검증 대상 (통합)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DLC under Braking @ 0.3g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combined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ESC+ABS+CDC 통합 — 조향+제동+서스 동시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Sine with Dwell + 0.5g brake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NHTSA modified, ISO 19365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한계 영역 ESC 개입 + ABS 협조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μ-step Skidpad (한계 핸들링)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한계 핸들링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μ 변화 시 ESC + AFS 통합 응답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Rollover Threshold (Fishhook)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NHTSA Rollover Resistance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rollover 직전 ESC + CDC 안티롤 통합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Cornering on Rough Road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통합 사양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곡선로 + 노면거칠기 → ESC + CDC 동시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D6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Throttle-Off Oversteer Recovery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OEM 한계 사양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가속 페달 해방 시 ESC 개입 (lift-off oversteer)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D7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Combined Slip Brake-in-Turn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7975 + OEM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마찰원 한계에서 AFS + 차동제동 통합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76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D1_dlc_brak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D1 DLC+Brake</w:t>
      </w:r>
    </w:p>
    <w:p>
      <w:r>
        <w:rPr>
          <w:i/>
        </w:rPr>
        <w:t>Figure D1 — DLC under 0.3 g braking: ICC 핵심 통합 검증. 조향 + 종방향 brake 동시 인가 → Coordinator가 마찰원 내 split 결정.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46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n_D4_fishho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D4 Fishhook</w:t>
      </w:r>
    </w:p>
    <w:p>
      <w:r>
        <w:rPr>
          <w:i/>
        </w:rPr>
        <w:t>Figure D4 — NHTSA Fishhook: 반대방향 큰 펄스 + 3 s dwell. Rollover 임계 한계 평가.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2. KPI 정의 — 의미·계산식·근거</w:t>
      </w:r>
    </w:p>
    <w:p>
      <w:r>
        <w:t>각 KPI는 (1) 정의, (2) 계산식, (3) 임계값 근거, (4) 측정 대상을 명시한다. 근거는 산업/규제 표준 또는 학술 문헌에서 인용.</w:t>
      </w:r>
    </w:p>
    <w:p>
      <w:pPr>
        <w:pStyle w:val="Heading2"/>
      </w:pPr>
      <w:r>
        <w:rPr>
          <w:color w:val="1F3A6E"/>
        </w:rPr>
        <w:t>2.0 KPI 상세 설명</w:t>
      </w:r>
    </w:p>
    <w:p>
      <w:pPr>
        <w:pStyle w:val="Heading3"/>
      </w:pPr>
      <w:r>
        <w:rPr>
          <w:color w:val="1F3A6E"/>
        </w:rPr>
        <w:t>A. 핵심 동역학 KPI</w:t>
      </w:r>
    </w:p>
    <w:p>
      <w:pPr>
        <w:pStyle w:val="Heading4"/>
      </w:pPr>
      <w:r>
        <w:rPr>
          <w:color w:val="1F3A6E"/>
        </w:rPr>
        <w:t>A.1 Yaw rate overshoot (요 레이트 오버슈트)</w:t>
      </w:r>
    </w:p>
    <w:p>
      <w:pPr>
        <w:pStyle w:val="ListBullet"/>
      </w:pPr>
      <w:r>
        <w:rPr>
          <w:b/>
        </w:rPr>
        <w:t>정의</w:t>
      </w:r>
      <w:r>
        <w:t>: Step 입력에 대한 yaw rate 응답의 최대치와 정상상태값의 차이를 정상상태값으로 정규화한 비율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>OS = (r_peak − r_ss) / r_ss × 100%</w:t>
      </w:r>
    </w:p>
    <w:p>
      <w:pPr>
        <w:pStyle w:val="ListBullet"/>
      </w:pPr>
      <w:r>
        <w:rPr>
          <w:b/>
        </w:rPr>
        <w:t>임계 근거</w:t>
      </w:r>
      <w:r>
        <w:t>: OEM 사내 핸들링 사양 (BMW Dynamics, Mercedes 6.0/Achsen-test). 일반 양산차 &lt;10% 추구 [Rajamani 2012, §2.5].</w:t>
      </w:r>
    </w:p>
    <w:p>
      <w:pPr>
        <w:pStyle w:val="ListBullet"/>
      </w:pPr>
      <w:r>
        <w:rPr>
          <w:b/>
        </w:rPr>
        <w:t>적용</w:t>
      </w:r>
      <w:r>
        <w:t>: A3 (step steer), A1 (각 차선 변경 segment), D1</w:t>
      </w:r>
    </w:p>
    <w:p>
      <w:pPr>
        <w:pStyle w:val="Heading4"/>
      </w:pPr>
      <w:r>
        <w:rPr>
          <w:color w:val="1F3A6E"/>
        </w:rPr>
        <w:t>A.2 Yaw rate rise time (응답 상승 시간)</w:t>
      </w:r>
    </w:p>
    <w:p>
      <w:pPr>
        <w:pStyle w:val="ListBullet"/>
      </w:pPr>
      <w:r>
        <w:rPr>
          <w:b/>
        </w:rPr>
        <w:t>정의</w:t>
      </w:r>
      <w:r>
        <w:t>: Step 응답의 10% → 90% 도달 시간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>T_r = t_{0.9·r_ss} − t_{0.1·r_ss}</w:t>
      </w:r>
    </w:p>
    <w:p>
      <w:pPr>
        <w:pStyle w:val="ListBullet"/>
      </w:pPr>
      <w:r>
        <w:rPr>
          <w:b/>
        </w:rPr>
        <w:t>임계 근거</w:t>
      </w:r>
      <w:r>
        <w:t>: ISO 7401:2011 §6.3에서는 측정만 정의 (PASS 기준 없음); 양산차 일반 0.2–0.4 s [Genta &amp; Morello 2009, §5.3]</w:t>
      </w:r>
    </w:p>
    <w:p>
      <w:pPr>
        <w:pStyle w:val="ListBullet"/>
      </w:pPr>
      <w:r>
        <w:rPr>
          <w:b/>
        </w:rPr>
        <w:t>적용</w:t>
      </w:r>
      <w:r>
        <w:t>: A3, A6</w:t>
      </w:r>
    </w:p>
    <w:p>
      <w:pPr>
        <w:pStyle w:val="Heading4"/>
      </w:pPr>
      <w:r>
        <w:rPr>
          <w:color w:val="1F3A6E"/>
        </w:rPr>
        <w:t>A.3 Yaw rate settling time (정착 시간)</w:t>
      </w:r>
    </w:p>
    <w:p>
      <w:pPr>
        <w:pStyle w:val="ListBullet"/>
      </w:pPr>
      <w:r>
        <w:rPr>
          <w:b/>
        </w:rPr>
        <w:t>정의</w:t>
      </w:r>
      <w:r>
        <w:t>: 응답이 정상상태값의 ±2% 대역 내로 영구 진입하는 시간 (step 인가 시점 기준)</w:t>
      </w:r>
    </w:p>
    <w:p>
      <w:pPr>
        <w:pStyle w:val="ListBullet"/>
      </w:pPr>
      <w:r>
        <w:rPr>
          <w:b/>
        </w:rPr>
        <w:t>임계 근거</w:t>
      </w:r>
      <w:r>
        <w:t>: ISO 7401:2011 transient measure; OEM 0.5–1.0 s 일반 [He et al. 2006]</w:t>
      </w:r>
    </w:p>
    <w:p>
      <w:pPr>
        <w:pStyle w:val="ListBullet"/>
      </w:pPr>
      <w:r>
        <w:rPr>
          <w:b/>
        </w:rPr>
        <w:t>적용</w:t>
      </w:r>
      <w:r>
        <w:t>: A3</w:t>
      </w:r>
    </w:p>
    <w:p>
      <w:pPr>
        <w:pStyle w:val="Heading4"/>
      </w:pPr>
      <w:r>
        <w:rPr>
          <w:color w:val="1F3A6E"/>
        </w:rPr>
        <w:t>A.4 Side-slip angle (β, 차체 슬립각)</w:t>
      </w:r>
    </w:p>
    <w:p>
      <w:pPr>
        <w:pStyle w:val="ListBullet"/>
      </w:pPr>
      <w:r>
        <w:rPr>
          <w:b/>
        </w:rPr>
        <w:t>정의</w:t>
      </w:r>
      <w:r>
        <w:t>: β = atan2(v_y, v_x) — 차체 진행 방향과 종방향 축의 편차</w:t>
      </w:r>
    </w:p>
    <w:p>
      <w:pPr>
        <w:pStyle w:val="ListBullet"/>
      </w:pPr>
      <w:r>
        <w:rPr>
          <w:b/>
        </w:rPr>
        <w:t>임계 근거</w:t>
      </w:r>
      <w:r>
        <w:t xml:space="preserve">: ESC 개입 임계 5° (van Zanten 2000, </w:t>
      </w:r>
      <w:r>
        <w:rPr>
          <w:i/>
        </w:rPr>
        <w:t>VDC for ESP</w:t>
      </w:r>
      <w:r>
        <w:t>). 8° 이상 시 통상 driver-uncontrollable 영역 [Pacejka 2012, §1.3.3]</w:t>
      </w:r>
    </w:p>
    <w:p>
      <w:pPr>
        <w:pStyle w:val="ListBullet"/>
      </w:pPr>
      <w:r>
        <w:rPr>
          <w:b/>
        </w:rPr>
        <w:t>적용</w:t>
      </w:r>
      <w:r>
        <w:t>: 모든 횡 시나리오</w:t>
      </w:r>
    </w:p>
    <w:p>
      <w:pPr>
        <w:pStyle w:val="Heading4"/>
      </w:pPr>
      <w:r>
        <w:rPr>
          <w:color w:val="1F3A6E"/>
        </w:rPr>
        <w:t>A.5 Lateral deviation from reference path</w:t>
      </w:r>
    </w:p>
    <w:p>
      <w:pPr>
        <w:pStyle w:val="ListBullet"/>
      </w:pPr>
      <w:r>
        <w:rPr>
          <w:b/>
        </w:rPr>
        <w:t>정의</w:t>
      </w:r>
      <w:r>
        <w:t>: ego-vehicle CoG가 목표 경로(차선 중심선)와 이루는 lateral 거리의 최대치</w:t>
      </w:r>
    </w:p>
    <w:p>
      <w:pPr>
        <w:pStyle w:val="ListBullet"/>
      </w:pPr>
      <w:r>
        <w:rPr>
          <w:b/>
        </w:rPr>
        <w:t>임계 근거</w:t>
      </w:r>
      <w:r>
        <w:t>: ISO 3888-1/2 통과 조건 (콘 접촉 금지 → lane width − vehicle width 한계). DLC severe lane width 2.30 m, b=1.80 m → 한계 0.25 m 좌우</w:t>
      </w:r>
    </w:p>
    <w:p>
      <w:pPr>
        <w:pStyle w:val="ListBullet"/>
      </w:pPr>
      <w:r>
        <w:rPr>
          <w:b/>
        </w:rPr>
        <w:t>적용</w:t>
      </w:r>
      <w:r>
        <w:t>: A1, A2, D1, B3</w:t>
      </w:r>
    </w:p>
    <w:p>
      <w:pPr>
        <w:pStyle w:val="Heading4"/>
      </w:pPr>
      <w:r>
        <w:rPr>
          <w:color w:val="1F3A6E"/>
        </w:rPr>
        <w:t>A.6 Sine-with-Dwell yaw ratios</w:t>
      </w:r>
    </w:p>
    <w:p>
      <w:pPr>
        <w:pStyle w:val="ListBullet"/>
      </w:pPr>
      <w:r>
        <w:rPr>
          <w:b/>
        </w:rPr>
        <w:t>정의</w:t>
      </w:r>
      <w:r>
        <w:t>: FMVSS 126 §S5.2.2의 핵심 인증 지표 두 개.</w:t>
      </w:r>
    </w:p>
    <w:p>
      <w:pPr>
        <w:pStyle w:val="ListBullet"/>
      </w:pPr>
      <w:r>
        <w:rPr>
          <w:b/>
        </w:rPr>
        <w:t>R1.0</w:t>
      </w:r>
      <w:r>
        <w:t>: BOS(steering Begin-of-Steer)로부터 1.0 s 후의 yaw rate 절대값 / steering의 peak yaw rate</w:t>
      </w:r>
    </w:p>
    <w:p>
      <w:pPr>
        <w:pStyle w:val="ListBullet"/>
      </w:pPr>
      <w:r>
        <w:rPr>
          <w:b/>
        </w:rPr>
        <w:t>R1.75</w:t>
      </w:r>
      <w:r>
        <w:t>: BOS로부터 1.75 s 후 동일 비율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FMVSS 126 (49 CFR 571.126) §S5.2.2.1</w:t>
      </w:r>
      <w:r>
        <w:t>:</w:t>
      </w:r>
    </w:p>
    <w:p>
      <w:pPr>
        <w:pStyle w:val="ListBullet"/>
      </w:pPr>
      <w:r>
        <w:t>R1.0 ≤ 0.35 (35% 이하)</w:t>
      </w:r>
    </w:p>
    <w:p>
      <w:pPr>
        <w:pStyle w:val="ListBullet"/>
      </w:pPr>
      <w:r>
        <w:t>R1.75 ≤ 0.20 (20% 이하)</w:t>
      </w:r>
    </w:p>
    <w:p>
      <w:pPr>
        <w:pStyle w:val="ListBullet"/>
      </w:pPr>
      <w:r>
        <w:rPr>
          <w:b/>
        </w:rPr>
        <w:t>lateral displacement</w:t>
      </w:r>
      <w:r>
        <w:t>: BOS + 1.07 s 시점 lateral displacement ≥ 1.83 m [FMVSS 126 §S5.2.2.3]</w:t>
      </w:r>
    </w:p>
    <w:p>
      <w:pPr>
        <w:pStyle w:val="ListBullet"/>
      </w:pPr>
      <w:r>
        <w:rPr>
          <w:b/>
        </w:rPr>
        <w:t>적용</w:t>
      </w:r>
      <w:r>
        <w:t>: A5, D2</w:t>
      </w:r>
    </w:p>
    <w:p>
      <w:pPr>
        <w:pStyle w:val="Heading4"/>
      </w:pPr>
      <w:r>
        <w:rPr>
          <w:color w:val="1F3A6E"/>
        </w:rPr>
        <w:t>A.7 Maximum lateral acceleration (a_y_max)</w:t>
      </w:r>
    </w:p>
    <w:p>
      <w:pPr>
        <w:pStyle w:val="ListBullet"/>
      </w:pPr>
      <w:r>
        <w:rPr>
          <w:b/>
        </w:rPr>
        <w:t>정의</w:t>
      </w:r>
      <w:r>
        <w:t>: 시뮬레이션 중 |a_y|의 최대치</w:t>
      </w:r>
    </w:p>
    <w:p>
      <w:pPr>
        <w:pStyle w:val="ListBullet"/>
      </w:pPr>
      <w:r>
        <w:rPr>
          <w:b/>
        </w:rPr>
        <w:t>계산식</w:t>
      </w:r>
      <w:r>
        <w:t>: a_y = v̇_y + v_x · r (inertial frame)</w:t>
      </w:r>
    </w:p>
    <w:p>
      <w:pPr>
        <w:pStyle w:val="ListBullet"/>
      </w:pPr>
      <w:r>
        <w:rPr>
          <w:b/>
        </w:rPr>
        <w:t>임계 근거</w:t>
      </w:r>
      <w:r>
        <w:t>: μ_peak · g가 물리 한계 (μ=1.0 → 9.81 m/s²). 차종 사양으로 ay 한계 표시 [Gillespie 1992, §6.4]</w:t>
      </w:r>
    </w:p>
    <w:p>
      <w:pPr>
        <w:pStyle w:val="ListBullet"/>
      </w:pPr>
      <w:r>
        <w:rPr>
          <w:b/>
        </w:rPr>
        <w:t>적용</w:t>
      </w:r>
      <w:r>
        <w:t>: A4 (한계 검증), A1 (양산차 일반 4–6 m/s²)</w:t>
      </w:r>
    </w:p>
    <w:p>
      <w:pPr>
        <w:pStyle w:val="Heading3"/>
      </w:pPr>
      <w:r>
        <w:rPr>
          <w:color w:val="1F3A6E"/>
        </w:rPr>
        <w:t>B. 종방향 KPI</w:t>
      </w:r>
    </w:p>
    <w:p>
      <w:pPr>
        <w:pStyle w:val="Heading4"/>
      </w:pPr>
      <w:r>
        <w:rPr>
          <w:color w:val="1F3A6E"/>
        </w:rPr>
        <w:t>B.1 Stopping distance</w:t>
      </w:r>
    </w:p>
    <w:p>
      <w:pPr>
        <w:pStyle w:val="ListBullet"/>
      </w:pPr>
      <w:r>
        <w:rPr>
          <w:b/>
        </w:rPr>
        <w:t>정의</w:t>
      </w:r>
      <w:r>
        <w:t>: 브레이크 인가 시점부터 v_x = 0까지 이동 거리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>s_stop = ∫_{t_b}^{t_{stop}} v_x(t) dt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UN-R 13H §5.1.3.2 &amp; ISO 21994:2007 §7</w:t>
      </w:r>
      <w:r>
        <w:t>:</w:t>
      </w:r>
    </w:p>
    <w:p>
      <w:pPr>
        <w:pStyle w:val="ListBullet"/>
      </w:pPr>
      <w:r>
        <w:t>Type-0 brake test (cold): 100→0 km/h dry → ≤ 70 m (양산차 일반 35–45 m)</w:t>
      </w:r>
    </w:p>
    <w:p>
      <w:pPr>
        <w:pStyle w:val="ListBullet"/>
      </w:pPr>
      <w:r>
        <w:rPr>
          <w:b/>
        </w:rPr>
        <w:t>적용</w:t>
      </w:r>
      <w:r>
        <w:t>: B1, B2</w:t>
      </w:r>
    </w:p>
    <w:p>
      <w:pPr>
        <w:pStyle w:val="Heading4"/>
      </w:pPr>
      <w:r>
        <w:rPr>
          <w:color w:val="1F3A6E"/>
        </w:rPr>
        <w:t>B.2 MFDD (Mean Fully-Developed Deceleration)</w:t>
      </w:r>
    </w:p>
    <w:p>
      <w:pPr>
        <w:pStyle w:val="ListBullet"/>
      </w:pPr>
      <w:r>
        <w:rPr>
          <w:b/>
        </w:rPr>
        <w:t>정의</w:t>
      </w:r>
      <w:r>
        <w:t>: 80%·v₀ → 10%·v₀ 구간의 평균 감속도</w:t>
      </w:r>
    </w:p>
    <w:p>
      <w:pPr>
        <w:pStyle w:val="ListBullet"/>
      </w:pPr>
      <w:r>
        <w:rPr>
          <w:b/>
        </w:rPr>
        <w:t>계산식</w:t>
      </w:r>
      <w:r>
        <w:t xml:space="preserve">: </w:t>
      </w:r>
      <w:r>
        <w:rPr>
          <w:rFonts w:ascii="Consolas" w:hAnsi="Consolas"/>
          <w:sz w:val="20"/>
        </w:rPr>
        <w:t>MFDD = (0.7·v₀)² / (25.92·(s₂ − s₁))</w:t>
      </w:r>
      <w:r>
        <w:t xml:space="preserve"> [UN-R 13H Annex 3]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UN-R 13H §3.1.4</w:t>
      </w:r>
      <w:r>
        <w:t>: passenger car MFDD ≥ 6.43 m/s² (Type-0)</w:t>
      </w:r>
    </w:p>
    <w:p>
      <w:pPr>
        <w:pStyle w:val="ListBullet"/>
      </w:pPr>
      <w:r>
        <w:rPr>
          <w:b/>
        </w:rPr>
        <w:t>적용</w:t>
      </w:r>
      <w:r>
        <w:t>: B1</w:t>
      </w:r>
    </w:p>
    <w:p>
      <w:pPr>
        <w:pStyle w:val="Heading4"/>
      </w:pPr>
      <w:r>
        <w:rPr>
          <w:color w:val="1F3A6E"/>
        </w:rPr>
        <w:t>B.3 ABS slip ratio RMS error</w:t>
      </w:r>
    </w:p>
    <w:p>
      <w:pPr>
        <w:pStyle w:val="ListBullet"/>
      </w:pPr>
      <w:r>
        <w:rPr>
          <w:b/>
        </w:rPr>
        <w:t>정의</w:t>
      </w:r>
      <w:r>
        <w:t>: ABS 작동 중 실제 슬립률과 목표 슬립률 (≈ μ_peak slip, 통상 0.10–0.15) 사이의 RMS 오차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>e_κ_rms = sqrt( mean( (κ_target − κ_actual)² ) )</w:t>
      </w:r>
    </w:p>
    <w:p>
      <w:pPr>
        <w:pStyle w:val="ListBullet"/>
      </w:pPr>
      <w:r>
        <w:rPr>
          <w:b/>
        </w:rPr>
        <w:t>임계 근거</w:t>
      </w:r>
      <w:r>
        <w:t xml:space="preserve">: 양산 ABS 일반 ±0.03; OEM 사내 사양 [Bosch </w:t>
      </w:r>
      <w:r>
        <w:rPr>
          <w:i/>
        </w:rPr>
        <w:t>Brake Handbook</w:t>
      </w:r>
      <w:r>
        <w:t xml:space="preserve"> 2014]</w:t>
      </w:r>
    </w:p>
    <w:p>
      <w:pPr>
        <w:pStyle w:val="ListBullet"/>
      </w:pPr>
      <w:r>
        <w:rPr>
          <w:b/>
        </w:rPr>
        <w:t>적용</w:t>
      </w:r>
      <w:r>
        <w:t>: B1, B2</w:t>
      </w:r>
    </w:p>
    <w:p>
      <w:pPr>
        <w:pStyle w:val="Heading4"/>
      </w:pPr>
      <w:r>
        <w:rPr>
          <w:color w:val="1F3A6E"/>
        </w:rPr>
        <w:t>B.4 μ utilization (마찰 활용도)</w:t>
      </w:r>
    </w:p>
    <w:p>
      <w:pPr>
        <w:pStyle w:val="ListBullet"/>
      </w:pPr>
      <w:r>
        <w:rPr>
          <w:b/>
        </w:rPr>
        <w:t>정의</w:t>
      </w:r>
      <w:r>
        <w:t>: 달성한 평균 감속도와 이론 최대값의 비율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>μ_util = MFDD / (μ_peak · g)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UN-R 13H Annex 6 §1.1</w:t>
      </w:r>
      <w:r>
        <w:t>: ABS 인증 요구 μ_util ≥ 0.75; 양산 일반 0.85–0.95</w:t>
      </w:r>
    </w:p>
    <w:p>
      <w:pPr>
        <w:pStyle w:val="ListBullet"/>
      </w:pPr>
      <w:r>
        <w:rPr>
          <w:b/>
        </w:rPr>
        <w:t>적용</w:t>
      </w:r>
      <w:r>
        <w:t>: B1, B2</w:t>
      </w:r>
    </w:p>
    <w:p>
      <w:pPr>
        <w:pStyle w:val="Heading4"/>
      </w:pPr>
      <w:r>
        <w:rPr>
          <w:color w:val="1F3A6E"/>
        </w:rPr>
        <w:t>B.5 Jerk (저크)</w:t>
      </w:r>
    </w:p>
    <w:p>
      <w:pPr>
        <w:pStyle w:val="ListBullet"/>
      </w:pPr>
      <w:r>
        <w:rPr>
          <w:b/>
        </w:rPr>
        <w:t>정의</w:t>
      </w:r>
      <w:r>
        <w:t>: j(t) = d a_x / d t 의 최대 절대값</w:t>
      </w:r>
    </w:p>
    <w:p>
      <w:pPr>
        <w:pStyle w:val="ListBullet"/>
      </w:pPr>
      <w:r>
        <w:rPr>
          <w:b/>
        </w:rPr>
        <w:t>임계 근거</w:t>
      </w:r>
      <w:r>
        <w:t>: 승차감 — ISO 2631-1 (whole-body shock 평가). 자율주행/AEB 일반 권장 &lt;2.5 m/s³ 일상, &lt;10 m/s³ 비상 [ISO 23374, ISO 22737]</w:t>
      </w:r>
    </w:p>
    <w:p>
      <w:pPr>
        <w:pStyle w:val="ListBullet"/>
      </w:pPr>
      <w:r>
        <w:rPr>
          <w:b/>
        </w:rPr>
        <w:t>적용</w:t>
      </w:r>
      <w:r>
        <w:t>: B1, D1, D2</w:t>
      </w:r>
    </w:p>
    <w:p>
      <w:pPr>
        <w:pStyle w:val="Heading3"/>
      </w:pPr>
      <w:r>
        <w:rPr>
          <w:color w:val="1F3A6E"/>
        </w:rPr>
        <w:t>C. 수직 KPI</w:t>
      </w:r>
    </w:p>
    <w:p>
      <w:pPr>
        <w:pStyle w:val="Heading4"/>
      </w:pPr>
      <w:r>
        <w:rPr>
          <w:color w:val="1F3A6E"/>
        </w:rPr>
        <w:t>C.1 Frequency-weighted vertical acceleration RMS</w:t>
      </w:r>
    </w:p>
    <w:p>
      <w:pPr>
        <w:pStyle w:val="ListBullet"/>
      </w:pPr>
      <w:r>
        <w:rPr>
          <w:b/>
        </w:rPr>
        <w:t>정의</w:t>
      </w:r>
      <w:r>
        <w:t>: ISO 2631-1 §6.4의 W_k 가중 함수를 적용한 수직 가속도 RMS</w:t>
      </w:r>
    </w:p>
    <w:p>
      <w:pPr>
        <w:pStyle w:val="ListBullet"/>
      </w:pPr>
      <w:r>
        <w:rPr>
          <w:b/>
        </w:rPr>
        <w:t>계산식</w:t>
      </w:r>
      <w:r>
        <w:t xml:space="preserve">: 가중된 시간 신호 </w:t>
      </w:r>
      <w:r>
        <w:rPr>
          <w:rFonts w:ascii="Consolas" w:hAnsi="Consolas"/>
          <w:sz w:val="20"/>
        </w:rPr>
        <w:t>a_w(t) = filter(W_k, a_z(t))</w:t>
      </w:r>
      <w:r>
        <w:t xml:space="preserve"> → </w:t>
      </w:r>
      <w:r>
        <w:rPr>
          <w:rFonts w:ascii="Consolas" w:hAnsi="Consolas"/>
          <w:sz w:val="20"/>
        </w:rPr>
        <w:t>a_{w,rms} = sqrt( (1/T) · ∫ a_w² dt )</w:t>
      </w:r>
    </w:p>
    <w:p>
      <w:pPr>
        <w:pStyle w:val="ListBullet"/>
      </w:pPr>
      <w:r>
        <w:rPr>
          <w:b/>
        </w:rPr>
        <w:t>W_k 가중</w:t>
      </w:r>
      <w:r>
        <w:t>: 0.5 Hz peak, ±20% band-pass — 인체 vertical comfort 민감 영역 (4–8 Hz)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ISO 2631-1:1997 Table B.1</w:t>
      </w:r>
      <w:r>
        <w:t>:</w:t>
      </w:r>
    </w:p>
    <w:p>
      <w:pPr>
        <w:pStyle w:val="ListBullet"/>
      </w:pPr>
      <w:r>
        <w:t>&lt;0.315 m/s² : not uncomfortable</w:t>
      </w:r>
    </w:p>
    <w:p>
      <w:pPr>
        <w:pStyle w:val="ListBullet"/>
      </w:pPr>
      <w:r>
        <w:t>0.315–0.63 : a little uncomfortable</w:t>
      </w:r>
    </w:p>
    <w:p>
      <w:pPr>
        <w:pStyle w:val="ListBullet"/>
      </w:pPr>
      <w:r>
        <w:t>0.5–1.0 : fairly uncomfortable</w:t>
      </w:r>
    </w:p>
    <w:p>
      <w:pPr>
        <w:pStyle w:val="ListBullet"/>
      </w:pPr>
      <w:r>
        <w:t>0.8–1.6 : uncomfortable</w:t>
      </w:r>
    </w:p>
    <w:p>
      <w:pPr>
        <w:pStyle w:val="ListBullet"/>
      </w:pPr>
      <w:r>
        <w:t>1.25–2.5 : very uncomfortable</w:t>
      </w:r>
    </w:p>
    <w:p>
      <w:pPr>
        <w:pStyle w:val="ListBullet"/>
      </w:pPr>
      <w:r>
        <w:t>&gt;2.0 : extremely uncomfortable</w:t>
      </w:r>
    </w:p>
    <w:p>
      <w:pPr>
        <w:pStyle w:val="ListBullet"/>
      </w:pPr>
      <w:r>
        <w:rPr>
          <w:b/>
        </w:rPr>
        <w:t>적용</w:t>
      </w:r>
      <w:r>
        <w:t>: C1, C2, C3, D5</w:t>
      </w:r>
    </w:p>
    <w:p>
      <w:pPr>
        <w:pStyle w:val="Heading4"/>
      </w:pPr>
      <w:r>
        <w:rPr>
          <w:color w:val="1F3A6E"/>
        </w:rPr>
        <w:t>C.2 Vibration Dose Value (VDV)</w:t>
      </w:r>
    </w:p>
    <w:p>
      <w:pPr>
        <w:pStyle w:val="ListBullet"/>
      </w:pPr>
      <w:r>
        <w:rPr>
          <w:b/>
        </w:rPr>
        <w:t>정의</w:t>
      </w:r>
      <w:r>
        <w:t>: 진동 노출의 4-제곱 평균 (peak 효과 강조)</w:t>
      </w:r>
    </w:p>
    <w:p>
      <w:pPr>
        <w:pStyle w:val="ListBullet"/>
      </w:pPr>
      <w:r>
        <w:rPr>
          <w:b/>
        </w:rPr>
        <w:t>계산식</w:t>
      </w:r>
      <w:r>
        <w:t xml:space="preserve">: </w:t>
      </w:r>
      <w:r>
        <w:rPr>
          <w:rFonts w:ascii="Consolas" w:hAnsi="Consolas"/>
          <w:sz w:val="20"/>
        </w:rPr>
        <w:t>VDV = (∫₀^T a_w(t)⁴ dt)^{1/4}</w:t>
      </w:r>
      <w:r>
        <w:t xml:space="preserve"> [m/s¹·⁷⁵]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ISO 2631-1:1997 §B.3.4</w:t>
      </w:r>
      <w:r>
        <w:t>: 8시간 노출 한계 8.5 m/s¹·⁷⁵ 이하 권고</w:t>
      </w:r>
    </w:p>
    <w:p>
      <w:pPr>
        <w:pStyle w:val="ListBullet"/>
      </w:pPr>
      <w:r>
        <w:rPr>
          <w:b/>
        </w:rPr>
        <w:t>적용</w:t>
      </w:r>
      <w:r>
        <w:t>: C3, C4</w:t>
      </w:r>
    </w:p>
    <w:p>
      <w:pPr>
        <w:pStyle w:val="Heading4"/>
      </w:pPr>
      <w:r>
        <w:rPr>
          <w:color w:val="1F3A6E"/>
        </w:rPr>
        <w:t>C.3 Suspension peak travel</w:t>
      </w:r>
    </w:p>
    <w:p>
      <w:pPr>
        <w:pStyle w:val="ListBullet"/>
      </w:pPr>
      <w:r>
        <w:rPr>
          <w:b/>
        </w:rPr>
        <w:t>정의</w:t>
      </w:r>
      <w:r>
        <w:t>: |z_s|의 최대치 (4-corner 중 최대)</w:t>
      </w:r>
    </w:p>
    <w:p>
      <w:pPr>
        <w:pStyle w:val="ListBullet"/>
      </w:pPr>
      <w:r>
        <w:rPr>
          <w:b/>
        </w:rPr>
        <w:t>임계 근거</w:t>
      </w:r>
      <w:r>
        <w:t>: 통상 사양 wheel-well 한계 ~100 mm; bump-stop 동작 60–80 mm</w:t>
      </w:r>
    </w:p>
    <w:p>
      <w:pPr>
        <w:pStyle w:val="ListBullet"/>
      </w:pPr>
      <w:r>
        <w:rPr>
          <w:b/>
        </w:rPr>
        <w:t>적용</w:t>
      </w:r>
      <w:r>
        <w:t>: C1</w:t>
      </w:r>
    </w:p>
    <w:p>
      <w:pPr>
        <w:pStyle w:val="Heading3"/>
      </w:pPr>
      <w:r>
        <w:rPr>
          <w:color w:val="1F3A6E"/>
        </w:rPr>
        <w:t>D. 안정성 KPI</w:t>
      </w:r>
    </w:p>
    <w:p>
      <w:pPr>
        <w:pStyle w:val="Heading4"/>
      </w:pPr>
      <w:r>
        <w:rPr>
          <w:color w:val="1F3A6E"/>
        </w:rPr>
        <w:t>D.1 LTR (Load Transfer Ratio)</w:t>
      </w:r>
    </w:p>
    <w:p>
      <w:pPr>
        <w:pStyle w:val="ListBullet"/>
      </w:pPr>
      <w:r>
        <w:rPr>
          <w:b/>
        </w:rPr>
        <w:t>정의</w:t>
      </w:r>
      <w:r>
        <w:t>: 좌우 휠 하중 비대칭 정도, rollover risk 지표</w:t>
      </w:r>
    </w:p>
    <w:p>
      <w:pPr>
        <w:pStyle w:val="ListBullet"/>
      </w:pPr>
      <w:r>
        <w:rPr>
          <w:b/>
        </w:rPr>
        <w:t>계산식</w:t>
      </w:r>
      <w:r>
        <w:t xml:space="preserve">: </w:t>
      </w:r>
      <w:r>
        <w:rPr>
          <w:rFonts w:ascii="Consolas" w:hAnsi="Consolas"/>
          <w:sz w:val="20"/>
        </w:rPr>
        <w:t>LTR = (F_{z,R} − F_{z,L}) / (F_{z,R} + F_{z,L})</w:t>
      </w:r>
      <w:r>
        <w:t>. 범위 [−1, +1].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Larish et al. (2013)</w:t>
      </w:r>
      <w:r>
        <w:t xml:space="preserve"> — LTR = ±1 시 한 쪽 휠 wheel-lift. ±0.7 이상이면 rollover risk 警戒, ±0.9 이상이면 imminent [Solmaz et al. 2007, </w:t>
      </w:r>
      <w:r>
        <w:rPr>
          <w:i/>
        </w:rPr>
        <w:t>Smart Roll-Over Prevention</w:t>
      </w:r>
      <w:r>
        <w:t>, Vehicle System Dynamics]</w:t>
      </w:r>
    </w:p>
    <w:p>
      <w:pPr>
        <w:pStyle w:val="ListBullet"/>
      </w:pPr>
      <w:r>
        <w:rPr>
          <w:b/>
        </w:rPr>
        <w:t>적용</w:t>
      </w:r>
      <w:r>
        <w:t>: A4, A7, A8, D1, D4</w:t>
      </w:r>
    </w:p>
    <w:p>
      <w:pPr>
        <w:pStyle w:val="Heading4"/>
      </w:pPr>
      <w:r>
        <w:rPr>
          <w:color w:val="1F3A6E"/>
        </w:rPr>
        <w:t>D.2 Tire utilization (마찰 사용률)</w:t>
      </w:r>
    </w:p>
    <w:p>
      <w:pPr>
        <w:pStyle w:val="ListBullet"/>
      </w:pPr>
      <w:r>
        <w:rPr>
          <w:b/>
        </w:rPr>
        <w:t>정의</w:t>
      </w:r>
      <w:r>
        <w:t xml:space="preserve">: </w:t>
      </w:r>
      <w:r>
        <w:rPr>
          <w:rFonts w:ascii="Consolas" w:hAnsi="Consolas"/>
          <w:sz w:val="20"/>
        </w:rPr>
        <w:t>u_i = sqrt(F_{x,i}² + F_{y,i}²) / (μ_i · F_{z,i})</w:t>
      </w:r>
    </w:p>
    <w:p>
      <w:pPr>
        <w:pStyle w:val="ListBullet"/>
      </w:pPr>
      <w:r>
        <w:rPr>
          <w:b/>
        </w:rPr>
        <w:t>임계 근거</w:t>
      </w:r>
      <w:r>
        <w:t>: 마찰원 한계 = 1.0; OEM 일반 한계 0.9 (saturation 직전); 정상 핸들링 &lt;0.7 [Pacejka 2012, §1.3.4]</w:t>
      </w:r>
    </w:p>
    <w:p>
      <w:pPr>
        <w:pStyle w:val="ListBullet"/>
      </w:pPr>
      <w:r>
        <w:rPr>
          <w:b/>
        </w:rPr>
        <w:t>적용</w:t>
      </w:r>
      <w:r>
        <w:t>: 전 시나리오 (한계 평가)</w:t>
      </w:r>
    </w:p>
    <w:p>
      <w:pPr>
        <w:pStyle w:val="Heading4"/>
      </w:pPr>
      <w:r>
        <w:rPr>
          <w:color w:val="1F3A6E"/>
        </w:rPr>
        <w:t>D.3 β-r phase plane stability</w:t>
      </w:r>
    </w:p>
    <w:p>
      <w:pPr>
        <w:pStyle w:val="ListBullet"/>
      </w:pPr>
      <w:r>
        <w:rPr>
          <w:b/>
        </w:rPr>
        <w:t>정의</w:t>
      </w:r>
      <w:r>
        <w:t>: side-slip rate dβ/dt vs side-slip β 평면에서 stable manifold 잔존 여부</w:t>
      </w:r>
    </w:p>
    <w:p>
      <w:pPr>
        <w:pStyle w:val="ListBullet"/>
      </w:pPr>
      <w:r>
        <w:rPr>
          <w:b/>
        </w:rPr>
        <w:t>계산</w:t>
      </w:r>
      <w:r>
        <w:t xml:space="preserve">: </w:t>
      </w:r>
      <w:r>
        <w:rPr>
          <w:rFonts w:ascii="Consolas" w:hAnsi="Consolas"/>
          <w:sz w:val="20"/>
        </w:rPr>
        <w:t xml:space="preserve">dβ/dt = (v_x · ṙ − r · v̇_x ) </w:t>
      </w:r>
      <w:r>
        <w:t xml:space="preserve"> (선형 근사 시) — phase portrait 시각화</w:t>
      </w:r>
    </w:p>
    <w:p>
      <w:pPr>
        <w:pStyle w:val="ListBullet"/>
      </w:pPr>
      <w:r>
        <w:rPr>
          <w:b/>
        </w:rPr>
        <w:t>임계 근거</w:t>
      </w:r>
      <w:r>
        <w:t xml:space="preserve">: ESC 안정 영역 정의 [van Zanten 2000, </w:t>
      </w:r>
      <w:r>
        <w:rPr>
          <w:i/>
        </w:rPr>
        <w:t>FDR — The Vehicle Dynamics Control System of Bosch</w:t>
      </w:r>
      <w:r>
        <w:t>; Pacejka §10]</w:t>
      </w:r>
    </w:p>
    <w:p>
      <w:pPr>
        <w:pStyle w:val="ListBullet"/>
      </w:pPr>
      <w:r>
        <w:rPr>
          <w:b/>
        </w:rPr>
        <w:t>적용</w:t>
      </w:r>
      <w:r>
        <w:t>: A5, D2, D4 (한계 검증)</w:t>
      </w:r>
    </w:p>
    <w:p>
      <w:pPr>
        <w:pStyle w:val="Heading4"/>
      </w:pPr>
      <w:r>
        <w:rPr>
          <w:color w:val="1F3A6E"/>
        </w:rPr>
        <w:t>D.4 Sine-with-dwell lateral displacement</w:t>
      </w:r>
    </w:p>
    <w:p>
      <w:pPr>
        <w:pStyle w:val="ListBullet"/>
      </w:pPr>
      <w:r>
        <w:rPr>
          <w:b/>
        </w:rPr>
        <w:t>정의</w:t>
      </w:r>
      <w:r>
        <w:t>: FMVSS 126 통과 조건 — 통과 차량은 lateral 거리 ≥ 1.83 m</w:t>
      </w:r>
    </w:p>
    <w:p>
      <w:pPr>
        <w:pStyle w:val="ListBullet"/>
      </w:pPr>
      <w:r>
        <w:rPr>
          <w:b/>
        </w:rPr>
        <w:t>임계 근거</w:t>
      </w:r>
      <w:r>
        <w:t xml:space="preserve">: </w:t>
      </w:r>
      <w:r>
        <w:rPr>
          <w:b/>
        </w:rPr>
        <w:t>FMVSS 126 §S5.2.2.3</w:t>
      </w:r>
      <w:r>
        <w:t xml:space="preserve"> — under-steer vehicle도 충분히 lateral 거리 확보해야 ESC 인증</w:t>
      </w:r>
    </w:p>
    <w:p>
      <w:pPr>
        <w:pStyle w:val="ListBullet"/>
      </w:pPr>
      <w:r>
        <w:rPr>
          <w:b/>
        </w:rPr>
        <w:t>적용</w:t>
      </w:r>
      <w:r>
        <w:t>: A5</w:t>
      </w:r>
    </w:p>
    <w:p>
      <w:pPr>
        <w:pStyle w:val="Heading2"/>
      </w:pPr>
      <w:r>
        <w:rPr>
          <w:color w:val="1F3A6E"/>
        </w:rPr>
        <w:t>2.1 횡방향 KPI 임계값 표</w:t>
      </w:r>
    </w:p>
    <w:p>
      <w:pPr>
        <w:pStyle w:val="Heading2"/>
      </w:pPr>
      <w:r>
        <w:rPr>
          <w:color w:val="1F3A6E"/>
        </w:rPr>
        <w:t>2.1 횡방향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단위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 적용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PASS / MARGINAL / FAIL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rate gain</w:t>
            </w:r>
            <w:r>
              <w:t xml:space="preserve"> (ay/δ at SS)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[m/s²·deg⁻¹]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차종 사양 ±10% / ±20% / 그 외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rate overshoot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[%]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A1, A3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&lt;10% / 10–20% / &gt;20%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rate rise time</w:t>
            </w:r>
            <w:r>
              <w:t xml:space="preserve"> (10–90%)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[s]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&lt;0.3 / 0.3–0.6 / &gt;0.6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rate settling time</w:t>
            </w:r>
            <w:r>
              <w:t xml:space="preserve"> (±2%)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[s]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&lt;0.5 / 0.5–1.0 / &gt;1.0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Side-slip angle max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[deg]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A1–A8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&lt;5 / 5–8 / &gt;8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Lateral deviation from path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A1, A2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&lt;0.5 / 0.5–1.0 / &gt;1.0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Maximum lateral acceleration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[m/s²]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μg 한계 도달 여부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Sine-with-Dwell yaw 1.0s ratio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≤0.35 (FMVSS 126 기준)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Sine-with-Dwell yaw 1.75s ratio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≤0.20 (FMVSS 126)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Lateral deviation @ 1.07s (BOS+1.07)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≥1.83 m (FMVSS 126)</w:t>
            </w:r>
          </w:p>
        </w:tc>
      </w:tr>
    </w:tbl>
    <w:p/>
    <w:p>
      <w:pPr>
        <w:pStyle w:val="Heading2"/>
      </w:pPr>
      <w:r>
        <w:rPr>
          <w:color w:val="1F3A6E"/>
        </w:rPr>
        <w:t>2.2 종방향 KPI (ABS/EBD/TC)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단위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PASS / MARGINAL / FAIL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Stopping distance (100→0 km/h, dry)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&lt;40 / 40–50 / &gt;50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Stopping distance (50→0 km/h, μ=0.3)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&lt;22 / 22–28 / &gt;28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Mean fully-developed deceleration (MFDD)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[m/s²]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&gt;7.0 / 5.5–7.0 / &lt;5.5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ABS slip ratio target tracking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B1, B2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RMS error &lt;0.03 / 0.03–0.06 / &gt;0.06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μ utilization (decel / (μ·g))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B1, B2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&gt;0.90 / 0.80–0.90 / &lt;0.80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deviation during ABS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[deg]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B1, B2, B3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&lt;5 / 5–15 / &gt;15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Lateral deviation under split-μ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&lt;0.5 / 0.5–1.5 / &gt;1.5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Yaw rate growth during split-μ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[deg/s]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&lt;3 / 3–10 / &gt;10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TC slip ratio limit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&lt;0.10 / 0.10–0.20 / &gt;0.20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Maximum jerk during ABS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[m/s³]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B1, B2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&lt;10 / 10–20 / &gt;20</w:t>
            </w:r>
          </w:p>
        </w:tc>
      </w:tr>
    </w:tbl>
    <w:p/>
    <w:p>
      <w:pPr>
        <w:pStyle w:val="Heading2"/>
      </w:pPr>
      <w:r>
        <w:rPr>
          <w:color w:val="1F3A6E"/>
        </w:rPr>
        <w:t>2.3 수직 / Ride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단위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PASS / MARGINAL / FAIL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Vertical accel RMS (weighted, ISO 2631)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[m/s²]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C2, C3, C4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&lt;0.5 / 0.5–1.0 / &gt;1.0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Vibration Dose Value (VDV)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[m/s¹·⁷⁵]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2631 (시간 노출 한계)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Suspension peak deflection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[mm]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&lt;60 / 60–90 / &gt;90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Body roll under steering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[deg]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A1, A4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&lt;3 / 3–5 / &gt;5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Body pitch under braking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[deg]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&lt;2 / 2–4 / &gt;4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Wheel hop frequency content (8–12 Hz)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[m/s²]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C2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차종별 (CDC 효과 판정)</w:t>
            </w:r>
          </w:p>
        </w:tc>
      </w:tr>
    </w:tbl>
    <w:p/>
    <w:p>
      <w:pPr>
        <w:pStyle w:val="Heading2"/>
      </w:pPr>
      <w:r>
        <w:rPr>
          <w:color w:val="1F3A6E"/>
        </w:rPr>
        <w:t>2.4 안정성 / 한계 KPI (전 시나리오 공통)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단위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임계값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LTR (Load Transfer Ratio)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&lt;0.7 / 0.7–0.9 / &gt;0.9 (rollover risk)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Slip ratio max</w:t>
            </w:r>
            <w:r>
              <w:t xml:space="preserve"> (per-wheel)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&lt;0.15 / 0.15–0.25 / &gt;0.25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β-r phase trajectory</w:t>
            </w:r>
            <w:r>
              <w:t xml:space="preserve"> (phase plane)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–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안정영역 잔존 여부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Lyapunov stability margin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–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개입 후 발산 없음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Tire utilization (Fx²+Fy²)/(μFz)²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[-]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&lt;0.7 / 0.7–0.9 / &gt;0.9</w:t>
            </w:r>
          </w:p>
        </w:tc>
      </w:tr>
    </w:tbl>
    <w:p/>
    <w:p>
      <w:pPr>
        <w:pStyle w:val="Heading2"/>
      </w:pPr>
      <w:r>
        <w:rPr>
          <w:color w:val="1F3A6E"/>
        </w:rPr>
        <w:t>2.5 모델 정확도 KPI (CarMaker 대조 — 이미 구현됨)</w:t>
      </w:r>
    </w:p>
    <w:p>
      <w:r>
        <w:rPr>
          <w:color w:val="0B57D0"/>
          <w:u w:val="none"/>
        </w:rPr>
        <w:t>`config/kpi_thresholds.m`</w:t>
      </w:r>
      <w:r>
        <w:t xml:space="preserve">에 정의된 </w:t>
      </w:r>
      <w:r>
        <w:rPr>
          <w:rFonts w:ascii="Consolas" w:hAnsi="Consolas"/>
          <w:sz w:val="20"/>
        </w:rPr>
        <w:t>modelFidelity</w:t>
      </w:r>
      <w:r>
        <w:t xml:space="preserve"> / </w:t>
      </w:r>
      <w:r>
        <w:rPr>
          <w:rFonts w:ascii="Consolas" w:hAnsi="Consolas"/>
          <w:sz w:val="20"/>
        </w:rPr>
        <w:t>modelFidelityLat</w:t>
      </w:r>
      <w:r>
        <w:t>. 모델 보정 완료, 이후 변화 없음 가정.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3. 현재 프레임워크 구현 가능성 평가</w:t>
      </w:r>
    </w:p>
    <w:p>
      <w:pPr>
        <w:pStyle w:val="Heading2"/>
      </w:pPr>
      <w:r>
        <w:rPr>
          <w:color w:val="1F3A6E"/>
        </w:rPr>
        <w:t>3.1 즉시 구현 가능 (현재 자산만으로 가능)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이유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 DLC@80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color w:val="0B57D0"/>
                <w:u w:val="none"/>
              </w:rPr>
              <w:t>`run_icc_standalone.m`</w:t>
            </w:r>
            <w:r>
              <w:t>이 이미 DLC 조향 패턴 생성 (line 28-36)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A3 Step Steer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동일 입력 패턴 변형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A4 SS Circular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δ 일정값 인가 + 정상상태 대기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A6 Sine Sweep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δ = A·sin(ω(t)·t) 시변 주파수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 Straight Braking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brake_torque 인가 + vx 추적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B2 Split-μ Braking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 xml:space="preserve">per-wheel μ 차별화 — </w:t>
            </w:r>
            <w:r>
              <w:rPr>
                <w:b/>
              </w:rPr>
              <w:t>plant 확장 필요</w:t>
            </w:r>
            <w:r>
              <w:t xml:space="preserve"> (μ 인자 추가)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A7 Brake-in-Turn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 + B1 조합, 현재 actuatorCmd 구조로 가능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C1 Single Bump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 xml:space="preserve">14-DOF에 z_road 입력 단자가 이미 EOM에 존재 (현재 0 고정) — </w:t>
            </w:r>
            <w:r>
              <w:rPr>
                <w:b/>
              </w:rPr>
              <w:t>입력만 추가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C2 Sinusoidal Sweep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C1과 동일하게 z_road 입력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D1 DLC under Braking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 + B1 조합</w:t>
            </w:r>
          </w:p>
        </w:tc>
      </w:tr>
    </w:tbl>
    <w:p/>
    <w:p>
      <w:pPr>
        <w:pStyle w:val="Heading2"/>
      </w:pPr>
      <w:r>
        <w:rPr>
          <w:color w:val="1F3A6E"/>
        </w:rPr>
        <w:t>3.2 인프라 확장 필요 (중간 난이도)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필요 자산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A2 ISO 3888-2 Severe DLC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정확한 콘 배치 차선폭(2.61 m → 2.30 m) 기반 path-following + 운전자 모델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 FMVSS 126 Sine-with-Dwell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Steering robot 정확한 프로파일 (0.7 Hz sine, 0.5s dwell at 2nd peak), BOS/EOS 검출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B2 저-μ Braking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per-wheel μ scaling 입력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B3 Split-μ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좌/우 차별 μ 분포 입력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B5 TC Tip-in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구동 토크 입력 단자 (현재 plant는 brake만 수용 — drive_torque 인자 추가)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C3 Random Road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8608 PSD 기반 노면 생성기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D3 μ-step Skidpad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시간/공간 가변 μ 모델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D5 Cornering on Rough Road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μ + z_road 조합 입력</w:t>
            </w:r>
          </w:p>
        </w:tc>
      </w:tr>
    </w:tbl>
    <w:p/>
    <w:p>
      <w:pPr>
        <w:pStyle w:val="Heading2"/>
      </w:pPr>
      <w:r>
        <w:rPr>
          <w:color w:val="1F3A6E"/>
        </w:rPr>
        <w:t>3.3 모델 확장 필요 (높은 난이도)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필요 자산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D4 Fishhook (rollover)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rollover 임계 전후 동역학 — 현재 14-DOF는 wheel-lift 미모델, Fz&lt;0 클램프 필요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B6 Wheel Lift Recovery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개별 휠 lift 검출 + ABS 비활성 로직</w:t>
            </w:r>
          </w:p>
        </w:tc>
      </w:tr>
    </w:tbl>
    <w:p/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4. 구현 계획 — 5단계 Phased Approach</w:t>
      </w:r>
    </w:p>
    <w:p>
      <w:pPr>
        <w:pStyle w:val="Heading2"/>
      </w:pPr>
      <w:r>
        <w:rPr>
          <w:color w:val="1F3A6E"/>
        </w:rPr>
        <w:t>Phase 1. 시나리오 프레임워크 정비 (1–2일 작업)</w:t>
      </w:r>
    </w:p>
    <w:p>
      <w:r>
        <w:t>목표: 표준 시나리오를 일관된 인터페이스로 호출 가능하게.</w:t>
      </w:r>
    </w:p>
    <w:p>
      <w:r>
        <w:rPr>
          <w:b/>
        </w:rPr>
        <w:t>신규 파일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scripts/scenarios/</w:t>
        <w:br/>
        <w:t>├── scenario_dispatcher.m          % runScenario('A1') → driver+brake 시계열 반환</w:t>
        <w:br/>
        <w:t>├── scn_A1_dlc_80.m                % ISO 3888-1 DLC @ 80 km/h</w:t>
        <w:br/>
        <w:t>├── scn_A2_dlc_severe.m            % ISO 3888-2</w:t>
        <w:br/>
        <w:t>├── scn_A3_step_steer.m            % ISO 7401</w:t>
        <w:br/>
        <w:t>├── scn_A4_ss_circular.m           % ISO 4138</w:t>
        <w:br/>
        <w:t>├── scn_A5_sine_with_dwell.m       % FMVSS 126</w:t>
        <w:br/>
        <w:t>├── scn_A6_sine_sweep.m            % ISO 7401 sweep</w:t>
        <w:br/>
        <w:t>├── scn_A7_brake_in_turn.m         % ISO 7975</w:t>
        <w:br/>
        <w:t>├── scn_B1_straight_braking.m</w:t>
        <w:br/>
        <w:t>├── scn_B2_split_mu.m</w:t>
        <w:br/>
        <w:t>├── scn_C1_single_bump.m</w:t>
        <w:br/>
        <w:t>├── scn_C2_sweep.m</w:t>
        <w:br/>
        <w:t>├── scn_D1_dlc_braking.m</w:t>
        <w:br/>
        <w:t>└── README.md                      % scenario ID 표</w:t>
      </w:r>
    </w:p>
    <w:p>
      <w:r>
        <w:t xml:space="preserve">각 </w:t>
      </w:r>
      <w:r>
        <w:rPr>
          <w:rFonts w:ascii="Consolas" w:hAnsi="Consolas"/>
          <w:sz w:val="20"/>
        </w:rPr>
        <w:t>scn_*.m</w:t>
      </w:r>
      <w:r>
        <w:t>은 다음 반환: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function scenario = scn_A1_dlc_80(SIM)</w:t>
        <w:br/>
        <w:t xml:space="preserve">    scenario.id          = 'A1';</w:t>
        <w:br/>
        <w:t xml:space="preserve">    scenario.name        = 'ISO 3888-1 DLC @ 80 km/h';</w:t>
        <w:br/>
        <w:t xml:space="preserve">    scenario.tEnd        = 8;                  % [s]</w:t>
        <w:br/>
        <w:t xml:space="preserve">    scenario.vx0         = 80 * 1/3.6;</w:t>
        <w:br/>
        <w:t xml:space="preserve">    scenario.steerDriver = @(t) ...            % 시간함수 또는 [t, δ] 테이블</w:t>
        <w:br/>
        <w:t xml:space="preserve">    scenario.brakeCmd    = @(t) zeros(4,1);</w:t>
        <w:br/>
        <w:t xml:space="preserve">    scenario.z_road      = @(t,wheel) 0;       % 노면 (수직 시나리오용)</w:t>
        <w:br/>
        <w:t xml:space="preserve">    scenario.mu_wheel    = @(t,wheel) 1.0;     % 마찰 (split-μ용)</w:t>
        <w:br/>
        <w:t xml:space="preserve">    scenario.kpis        = {'yawRateOvershoot','sideSlipMax','lateralDevMax'};</w:t>
        <w:br/>
        <w:t xml:space="preserve">    scenario.refPath     = [x, y];             % 옵션: path-following 비교용</w:t>
        <w:br/>
        <w:t>end</w:t>
      </w:r>
    </w:p>
    <w:p>
      <w:pPr>
        <w:pStyle w:val="Heading2"/>
      </w:pPr>
      <w:r>
        <w:rPr>
          <w:color w:val="1F3A6E"/>
        </w:rPr>
        <w:t>Phase 2. KPI 모듈 확장 (1일)</w:t>
      </w:r>
    </w:p>
    <w:p>
      <w:r>
        <w:rPr>
          <w:rFonts w:ascii="Consolas" w:hAnsi="Consolas"/>
          <w:sz w:val="20"/>
        </w:rPr>
        <w:t>util_calc_kpi.m</w:t>
      </w:r>
      <w:r>
        <w:t>을 확장하여 시나리오별 KPI 자동 계산: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function kpi = util_calc_kpi(result, ref, scenario)</w:t>
        <w:br/>
        <w:t xml:space="preserve">    % scenario.kpis 목록에 따라 다음 함수들 분기:</w:t>
        <w:br/>
        <w:t xml:space="preserve">    kpi.yawRateOvershoot   = calc_overshoot(result, ref);</w:t>
        <w:br/>
        <w:t xml:space="preserve">    kpi.yawRateRiseTime    = calc_rise_time(result, ref);</w:t>
        <w:br/>
        <w:t xml:space="preserve">    kpi.yawRateSettling    = calc_settling(result, ref);</w:t>
        <w:br/>
        <w:t xml:space="preserve">    kpi.sineDwellRatio_1_0 = calc_sine_dwell(result, 1.0);</w:t>
        <w:br/>
        <w:t xml:space="preserve">    kpi.sineDwellRatio_1_75= calc_sine_dwell(result, 1.75);</w:t>
        <w:br/>
        <w:t xml:space="preserve">    kpi.stopDistance       = calc_stop_dist(result);</w:t>
        <w:br/>
        <w:t xml:space="preserve">    kpi.MFDD               = calc_mfdd(result);</w:t>
        <w:br/>
        <w:t xml:space="preserve">    kpi.tireUtilization    = calc_tire_util(result, params);</w:t>
        <w:br/>
        <w:t xml:space="preserve">    kpi.LTR_max            = max(abs(result.LTR));</w:t>
        <w:br/>
        <w:t xml:space="preserve">    kpi.rideRMS_weighted   = calc_ride_rms_iso2631(result);  % C 시나리오용</w:t>
        <w:br/>
        <w:t xml:space="preserve">    % ... 표 2.1~2.4 모두 ...</w:t>
        <w:br/>
        <w:t>end</w:t>
      </w:r>
    </w:p>
    <w:p>
      <w:r>
        <w:rPr>
          <w:b/>
        </w:rPr>
        <w:t>신규 헬퍼 함수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calc_overshoot.m</w:t>
      </w:r>
      <w:r>
        <w:t xml:space="preserve">, </w:t>
      </w:r>
      <w:r>
        <w:rPr>
          <w:rFonts w:ascii="Consolas" w:hAnsi="Consolas"/>
          <w:sz w:val="20"/>
        </w:rPr>
        <w:t>calc_rise_time.m</w:t>
      </w:r>
      <w:r>
        <w:t xml:space="preserve">, </w:t>
      </w:r>
      <w:r>
        <w:rPr>
          <w:rFonts w:ascii="Consolas" w:hAnsi="Consolas"/>
          <w:sz w:val="20"/>
        </w:rPr>
        <w:t>calc_settling.m</w:t>
      </w:r>
    </w:p>
    <w:p>
      <w:pPr>
        <w:pStyle w:val="ListBullet"/>
      </w:pPr>
      <w:r>
        <w:rPr>
          <w:rFonts w:ascii="Consolas" w:hAnsi="Consolas"/>
          <w:sz w:val="20"/>
        </w:rPr>
        <w:t>calc_sine_dwell.m</w:t>
      </w:r>
      <w:r>
        <w:t xml:space="preserve"> (BOS/EOS 검출 + 1.0s/1.75s 비율)</w:t>
      </w:r>
    </w:p>
    <w:p>
      <w:pPr>
        <w:pStyle w:val="ListBullet"/>
      </w:pPr>
      <w:r>
        <w:rPr>
          <w:rFonts w:ascii="Consolas" w:hAnsi="Consolas"/>
          <w:sz w:val="20"/>
        </w:rPr>
        <w:t>calc_mfdd.m</w:t>
      </w:r>
      <w:r>
        <w:t xml:space="preserve"> (UN-R 13H 정의)</w:t>
      </w:r>
    </w:p>
    <w:p>
      <w:pPr>
        <w:pStyle w:val="ListBullet"/>
      </w:pPr>
      <w:r>
        <w:rPr>
          <w:rFonts w:ascii="Consolas" w:hAnsi="Consolas"/>
          <w:sz w:val="20"/>
        </w:rPr>
        <w:t>calc_tire_util.m</w:t>
      </w:r>
    </w:p>
    <w:p>
      <w:pPr>
        <w:pStyle w:val="ListBullet"/>
      </w:pPr>
      <w:r>
        <w:rPr>
          <w:rFonts w:ascii="Consolas" w:hAnsi="Consolas"/>
          <w:sz w:val="20"/>
        </w:rPr>
        <w:t>calc_ride_rms_iso2631.m</w:t>
      </w:r>
      <w:r>
        <w:t xml:space="preserve"> (ISO 2631-1 W_k 가중)</w:t>
      </w:r>
    </w:p>
    <w:p>
      <w:pPr>
        <w:pStyle w:val="Heading2"/>
      </w:pPr>
      <w:r>
        <w:rPr>
          <w:color w:val="1F3A6E"/>
        </w:rPr>
        <w:t>Phase 3. Plant 확장 — μ 및 z_road 입력 (2–3일)</w:t>
      </w:r>
    </w:p>
    <w:p>
      <w:r>
        <w:t>*</w:t>
      </w:r>
      <w:r>
        <w:rPr>
          <w:i/>
        </w:rPr>
        <w:t>plant_step.m + plant_</w:t>
      </w:r>
      <w:r>
        <w:t xml:space="preserve">.m**: 시나리오에서 전달된 </w:t>
      </w:r>
      <w:r>
        <w:rPr>
          <w:rFonts w:ascii="Consolas" w:hAnsi="Consolas"/>
          <w:sz w:val="20"/>
        </w:rPr>
        <w:t>scenario.mu_wheel(t,i)</w:t>
      </w:r>
      <w:r>
        <w:t xml:space="preserve">와 </w:t>
      </w:r>
      <w:r>
        <w:rPr>
          <w:rFonts w:ascii="Consolas" w:hAnsi="Consolas"/>
          <w:sz w:val="20"/>
        </w:rPr>
        <w:t>scenario.z_road(t,i)</w:t>
      </w:r>
      <w:r>
        <w:t>를 plant 호출 시 인자로 추가.</w:t>
      </w:r>
    </w:p>
    <w:p>
      <w:r>
        <w:rPr>
          <w:b/>
        </w:rPr>
        <w:t>14-DOF 수직 입력 활성화</w:t>
      </w:r>
      <w:r>
        <w:t xml:space="preserve">: 현재 </w:t>
      </w:r>
      <w:r>
        <w:rPr>
          <w:rFonts w:ascii="Consolas" w:hAnsi="Consolas"/>
          <w:sz w:val="20"/>
        </w:rPr>
        <w:t>dzsdot = -(ks+kt)·zs - cs·zsdot</w:t>
      </w:r>
      <w:r>
        <w:t xml:space="preserve"> 에서 </w:t>
      </w:r>
      <w:r>
        <w:rPr>
          <w:rFonts w:ascii="Consolas" w:hAnsi="Consolas"/>
          <w:sz w:val="20"/>
        </w:rPr>
        <w:t>+ kt·z_road(t,i)</w:t>
      </w:r>
      <w:r>
        <w:t xml:space="preserve"> 항 추가 (실 EOM은 이미 도출됨 — 코드만 추가).</w:t>
      </w:r>
    </w:p>
    <w:p>
      <w:r>
        <w:rPr>
          <w:b/>
        </w:rPr>
        <w:t>μ per-wheel</w:t>
      </w:r>
      <w:r>
        <w:t xml:space="preserve">: TIRE.D 또는 D_x를 per-wheel scaling으로 변경. Magic Formula </w:t>
      </w:r>
      <w:r>
        <w:rPr>
          <w:rFonts w:ascii="Consolas" w:hAnsi="Consolas"/>
          <w:sz w:val="20"/>
        </w:rPr>
        <w:t>Dy = μ_i · F_z</w:t>
      </w:r>
      <w:r>
        <w:t>.</w:t>
      </w:r>
    </w:p>
    <w:p>
      <w:pPr>
        <w:pStyle w:val="Heading2"/>
      </w:pPr>
      <w:r>
        <w:rPr>
          <w:color w:val="1F3A6E"/>
        </w:rPr>
        <w:t>Phase 4. Scenario Runner + Driver Model — **완료 (2026-05-24)**</w:t>
      </w:r>
    </w:p>
    <w:p>
      <w:r>
        <w:t>신규/갱신: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scripts/run_icc_scenario.m         % scenario + driver + (옵션) ICC ctrl 통합 실행</w:t>
        <w:br/>
        <w:t>scripts/run_icc_benchmark.m        % P1 6시나리오 Controller off/on 자동 비교</w:t>
        <w:br/>
        <w:t>scripts/driver/driver_dispatch.m   % scenario.driverType 분기</w:t>
        <w:br/>
        <w:t>scripts/driver/driver_path_follow.m % Stanley + Pure Pursuit (refPath spline 보간)</w:t>
        <w:br/>
        <w:t>scripts/driver/driver_steer_robot.m % forced function (A3/A5/A6/A7)</w:t>
      </w:r>
    </w:p>
    <w:p>
      <w:r>
        <w:rPr>
          <w:rFonts w:ascii="Consolas" w:hAnsi="Consolas"/>
          <w:sz w:val="20"/>
        </w:rPr>
        <w:t>scenario.driverType</w:t>
      </w:r>
      <w:r>
        <w:t xml:space="preserve"> 필드로 분기:</w:t>
      </w:r>
    </w:p>
    <w:p>
      <w:pPr>
        <w:pStyle w:val="ListBullet"/>
      </w:pPr>
      <w:r>
        <w:rPr>
          <w:rFonts w:ascii="Consolas" w:hAnsi="Consolas"/>
          <w:sz w:val="20"/>
        </w:rPr>
        <w:t>'robot'</w:t>
      </w:r>
      <w:r>
        <w:t xml:space="preserve">: A3/A4/A5/A6/A7 — </w:t>
      </w:r>
      <w:r>
        <w:rPr>
          <w:rFonts w:ascii="Consolas" w:hAnsi="Consolas"/>
          <w:sz w:val="20"/>
        </w:rPr>
        <w:t>scenario.steerDriver(t)</w:t>
      </w:r>
      <w:r>
        <w:t xml:space="preserve"> 시변함수 직접 인가</w:t>
      </w:r>
    </w:p>
    <w:p>
      <w:pPr>
        <w:pStyle w:val="ListBullet"/>
      </w:pPr>
      <w:r>
        <w:rPr>
          <w:rFonts w:ascii="Consolas" w:hAnsi="Consolas"/>
          <w:sz w:val="20"/>
        </w:rPr>
        <w:t>'path_follow_stanley'</w:t>
      </w:r>
      <w:r>
        <w:t xml:space="preserve">: A1/A2/D1 — </w:t>
      </w:r>
      <w:r>
        <w:rPr>
          <w:rFonts w:ascii="Consolas" w:hAnsi="Consolas"/>
          <w:sz w:val="20"/>
        </w:rPr>
        <w:t>δ = θ_e + atan(k·e / max(vx, v_min))</w:t>
      </w:r>
    </w:p>
    <w:p>
      <w:pPr>
        <w:pStyle w:val="ListBullet"/>
      </w:pPr>
      <w:r>
        <w:rPr>
          <w:rFonts w:ascii="Consolas" w:hAnsi="Consolas"/>
          <w:sz w:val="20"/>
        </w:rPr>
        <w:t>'path_follow_purepursuit'</w:t>
      </w:r>
      <w:r>
        <w:t>: 동일 시나리오의 대안 — lookahead point 기반</w:t>
      </w:r>
    </w:p>
    <w:p>
      <w:pPr>
        <w:pStyle w:val="ListBullet"/>
      </w:pPr>
      <w:r>
        <w:rPr>
          <w:rFonts w:ascii="Consolas" w:hAnsi="Consolas"/>
          <w:sz w:val="20"/>
        </w:rPr>
        <w:t>'open_loop'</w:t>
      </w:r>
      <w:r>
        <w:t>: B1/B2/B3/C1/C2 — 조향 0, brake/road만 forced</w:t>
      </w:r>
    </w:p>
    <w:p>
      <w:r>
        <w:t xml:space="preserve">Runner는 </w:t>
      </w:r>
      <w:r>
        <w:rPr>
          <w:rFonts w:ascii="Consolas" w:hAnsi="Consolas"/>
          <w:sz w:val="20"/>
        </w:rPr>
        <w:t>'Controller'</w:t>
      </w:r>
      <w:r>
        <w:t xml:space="preserve"> 옵션으로 ICC 활성/비활성: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[res_off, kpi_off] = run_icc_scenario('A1', '14dof', 'Controller','off');</w:t>
        <w:br/>
        <w:t>[res_on,  kpi_on ] = run_icc_scenario('A1', '14dof', 'Controller','on');</w:t>
      </w:r>
    </w:p>
    <w:p>
      <w:r>
        <w:t xml:space="preserve">ON 시 </w:t>
      </w:r>
      <w:r>
        <w:rPr>
          <w:rFonts w:ascii="Consolas" w:hAnsi="Consolas"/>
          <w:sz w:val="20"/>
        </w:rPr>
        <w:t>ctrl_lateral</w:t>
      </w:r>
      <w:r>
        <w:t xml:space="preserve"> + </w:t>
      </w:r>
      <w:r>
        <w:rPr>
          <w:rFonts w:ascii="Consolas" w:hAnsi="Consolas"/>
          <w:sz w:val="20"/>
        </w:rPr>
        <w:t>ctrl_coordinator</w:t>
      </w:r>
      <w:r>
        <w:t xml:space="preserve"> 가 driver delta 위에 AFS 보조조향 + ESC 차동제동을 가산.</w:t>
      </w:r>
    </w:p>
    <w:p>
      <w:r>
        <w:rPr>
          <w:b/>
        </w:rPr>
        <w:t>P1 Benchmark 결과 (14DOF, 2026-05-24)</w:t>
      </w:r>
      <w:r>
        <w:t xml:space="preserve"> — ICC 제어기 핵심 효능: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OFF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ON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Δ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 DLC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sideSlipMax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4.51°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1.59°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−65%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LTR_max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0.948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0.642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−32%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A7 Brake-in-Turn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sideSlipMax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46.3°</w:t>
            </w:r>
            <w:r>
              <w:t xml:space="preserve"> (spin-out)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2.62°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−94%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A7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LTR_max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0.745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0.475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−36%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D1 DLC+Brake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sideSlipMax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7.65°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1.82°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−76%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D1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LTR_max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0.948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0.490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−48%</w:t>
            </w:r>
          </w:p>
        </w:tc>
      </w:tr>
      <w:tr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B1 직진제동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stoppingDistance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72.4 m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72.4 m</w:t>
            </w:r>
          </w:p>
        </w:tc>
        <w:tc>
          <w:tcPr>
            <w:tcW w:type="dxa" w:w="19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0% (조향 무, ESC dormant)</w:t>
            </w:r>
          </w:p>
        </w:tc>
      </w:tr>
    </w:tbl>
    <w:p/>
    <w:p>
      <w:r>
        <w:t>→ Phase 4 완료로 “베이스라인 vs ICC” 비교가 가능해졌으며, ESC 슬립 리미터 및 ICC coordinator의 효과가 quantifiable.</w:t>
      </w:r>
    </w:p>
    <w:p>
      <w:r>
        <w:t xml:space="preserve">자세한 결과는 </w:t>
      </w:r>
      <w:r>
        <w:rPr>
          <w:rFonts w:ascii="Consolas" w:hAnsi="Consolas"/>
          <w:sz w:val="20"/>
        </w:rPr>
        <w:t>docs/model_calibration_report.md</w:t>
      </w:r>
      <w:r>
        <w:t xml:space="preserve"> §18 참조.</w:t>
      </w:r>
    </w:p>
    <w:p>
      <w:pPr>
        <w:pStyle w:val="Heading2"/>
      </w:pPr>
      <w:r>
        <w:rPr>
          <w:color w:val="1F3A6E"/>
        </w:rPr>
        <w:t>Phase 5. (없음 — ICC 범위 내 World Simulator 불필요)</w:t>
      </w:r>
    </w:p>
    <w:p>
      <w:r>
        <w:t>ICC 범위는 ego-vehicle 샤시 제어. ADAS (AEB/ACC) 영역의 multi-object world는 본 프로토콜 밖. 필요 시 별도 ADAS 프로토콜 문서에서 정의.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5. 우선순위 및 Roadmap (ICC 범위)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시나리오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사유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P1 (즉시)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A1 DLC, A3 Step, A4 SS Circular, A7 BIT, B1 Braking, B4 Brake Step, D1 DLC+Brake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핵심 종/횡 KPI, 기존 framework 거의 그대로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P1+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A5 Sine-with-Dwell, A6 Sweep, D2 Sine+Brake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인증 + 한계 통합 — ICC 핵심 검증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P2 (μ/z_road 입력 후)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B2 저-μ, B3 Split-μ, C1 Bump, C2 Sweep, D5 Corner+Rough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per-wheel μ + z_road 단자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P2+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C3 Random Road, D3 μ-step Skidpad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상위 통합 검증 (CDC + ESC)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P3 (운전자 모델 후)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A2 Severe DLC, D6 Throttle-off, D7 Combined BIT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path-following + 구동 토크 단자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P4 (모델 확장 후)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D4 Fishhook, B6 Wheel Lift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rollover/lift-off 비선형 영역</w:t>
            </w:r>
          </w:p>
        </w:tc>
      </w:tr>
    </w:tbl>
    <w:p/>
    <w:p>
      <w:r>
        <w:rPr>
          <w:b/>
        </w:rPr>
        <w:t>P1+P1+ 시나리오 10개로 lateral (AFS+ESC) + longitudinal (ABS+EBD) + coordinator + vertical (CDC) 전체를 검증 가능. 이는 OEM ICC 사내 시험 베드의 핵심 80%를 커버.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6. Quick-Start: 제어기 설계를 위한 최소 ICC 시나리오 세트</w:t>
      </w:r>
    </w:p>
    <w:p>
      <w:r>
        <w:t xml:space="preserve">ICC 통합 제어기 (lateral + longitudinal + vertical + coordinator) 검증을 위한 </w:t>
      </w:r>
      <w:r>
        <w:rPr>
          <w:b/>
        </w:rPr>
        <w:t>최소 시나리오 8종</w:t>
      </w:r>
      <w:r>
        <w:t xml:space="preserve"> (Phase 1+2만으로 구현 가능):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짧은 설명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검증 대상 (서브제어기)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주요 KPI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A1</w:t>
            </w:r>
            <w:r>
              <w:t xml:space="preserve"> DLC@80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DLC 일반 핸들링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AFS / ESC (lateral)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yawRate overshoot, sideSlipMax, lateralDevMax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A3</w:t>
            </w:r>
            <w:r>
              <w:t xml:space="preserve"> Step Steer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δ=2° step, 80 km/h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AFS 응답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rise time, settling, overshoot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A4</w:t>
            </w:r>
            <w:r>
              <w:t xml:space="preserve"> SS Circular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R=50 m, vx ramp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AFS 한계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ay-vs-δ, ay_max, understeer gradient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A5</w:t>
            </w:r>
            <w:r>
              <w:t xml:space="preserve"> Sine-with-Dwell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인증 (FMVSS 126)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개입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1.0s/1.75s yaw ratio, lateral deviation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A7</w:t>
            </w:r>
            <w:r>
              <w:t xml:space="preserve"> Brake-in-Turn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ISO 7975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AFS+ABS 통합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yaw 이탈, slip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B1</w:t>
            </w:r>
            <w:r>
              <w:t xml:space="preserve"> Brake 100→0 dry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직진 제동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ABS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stopDist, MFDD, jerk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C1</w:t>
            </w:r>
            <w:r>
              <w:t xml:space="preserve"> Single Bump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단일 충격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CDC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peak susp travel, body accel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D1</w:t>
            </w:r>
            <w:r>
              <w:t xml:space="preserve"> DLC + 0.3g brake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통합 (lateral + longitudinal)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Coordinator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위 KPI 동시</w:t>
            </w:r>
          </w:p>
        </w:tc>
      </w:tr>
    </w:tbl>
    <w:p/>
    <w:p>
      <w:r>
        <w:t>8 시나리오 모두 통과하면 ICC 통합 제어기 안정성 1차 검증 완료.</w:t>
      </w:r>
    </w:p>
    <w:p>
      <w:r>
        <w:t>추가 강화 권장 (Phase 2 완료 후):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추가 시나리오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검증 대상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B3</w:t>
            </w:r>
            <w:r>
              <w:t xml:space="preserve"> Split-μ Braking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ABS + ESC 통합 (μ 비대칭)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D2</w:t>
            </w:r>
            <w:r>
              <w:t xml:space="preserve"> Sine-with-Dwell + brake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+ ABS 한계 협조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D5</w:t>
            </w:r>
            <w:r>
              <w:t xml:space="preserve"> Corner on Rough Road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+ CDC 통합 (lateral + vertical)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C3</w:t>
            </w:r>
            <w:r>
              <w:t xml:space="preserve"> Random Road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CDC 단독 ride 평가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</w:p>
        </w:tc>
      </w:tr>
    </w:tbl>
    <w:p/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7. 다음 단계 — 결정 필요 사항</w:t>
      </w:r>
    </w:p>
    <w:p>
      <w:pPr>
        <w:pStyle w:val="ListBullet"/>
      </w:pPr>
      <w:r>
        <w:rPr>
          <w:b/>
        </w:rPr>
        <w:t>Phase 1+2 (시나리오/KPI 프레임워크)부터 시작할 것인가?</w:t>
      </w:r>
    </w:p>
    <w:p>
      <w:pPr>
        <w:pStyle w:val="ListBullet"/>
      </w:pPr>
      <w:r>
        <w:rPr>
          <w:b/>
        </w:rPr>
        <w:t>Phase 3 (μ/z_road plant 확장)을 어디까지 우선할 것인가?</w:t>
      </w:r>
    </w:p>
    <w:p>
      <w:pPr>
        <w:pStyle w:val="ListBullet"/>
      </w:pPr>
      <w:r>
        <w:t>옵션 a: A 카테고리 모두 검증 후 진행</w:t>
      </w:r>
    </w:p>
    <w:p>
      <w:pPr>
        <w:pStyle w:val="ListBullet"/>
      </w:pPr>
      <w:r>
        <w:t>옵션 b: 통합 (D1, D2) 검증 위해 우선 z_road만 즉시</w:t>
      </w:r>
    </w:p>
    <w:p>
      <w:pPr>
        <w:pStyle w:val="ListBullet"/>
      </w:pPr>
      <w:r>
        <w:rPr>
          <w:b/>
        </w:rPr>
        <w:t>운전자 모델 (Phase 4)</w:t>
      </w:r>
      <w:r>
        <w:t>: Stanley vs Pure Pursuit — 어느 것?</w:t>
      </w:r>
    </w:p>
    <w:p>
      <w:pPr>
        <w:pStyle w:val="ListBullet"/>
      </w:pPr>
      <w:r>
        <w:rPr>
          <w:b/>
        </w:rPr>
        <w:t>구동 토크 단자</w:t>
      </w:r>
      <w:r>
        <w:t>: 현재 plant는 brake만 입력 — TC/AS 검증을 위해 drive_torque 추가할 것인가?</w:t>
      </w:r>
    </w:p>
    <w:p>
      <w:r>
        <w:rPr>
          <w:b/>
        </w:rPr>
        <w:t>추천 경로</w:t>
      </w:r>
      <w:r>
        <w:t>:</w:t>
      </w:r>
    </w:p>
    <w:p>
      <w:pPr>
        <w:pStyle w:val="ListBullet"/>
      </w:pPr>
      <w:r>
        <w:rPr>
          <w:b/>
        </w:rPr>
        <w:t>Phase 1 (1–2일)</w:t>
      </w:r>
      <w:r>
        <w:t>: scenario dispatcher + scn_A</w:t>
      </w:r>
      <w:r>
        <w:rPr>
          <w:i/>
        </w:rPr>
        <w:t>/scn_B</w:t>
      </w:r>
      <w:r>
        <w:t>/scn_C</w:t>
      </w:r>
      <w:r>
        <w:rPr>
          <w:i/>
        </w:rPr>
        <w:t>/scn_D</w:t>
      </w:r>
      <w:r>
        <w:t xml:space="preserve"> 구조 정립</w:t>
      </w:r>
    </w:p>
    <w:p>
      <w:pPr>
        <w:pStyle w:val="ListBullet"/>
      </w:pPr>
      <w:r>
        <w:rPr>
          <w:b/>
        </w:rPr>
        <w:t>Phase 2 (1일)</w:t>
      </w:r>
      <w:r>
        <w:t>: util_calc_kpi에 ICC KPI 풀세트 추가 (특히 sine-with-dwell, MFDD, ABS slip RMS, ISO 2631 ride)</w:t>
      </w:r>
    </w:p>
    <w:p>
      <w:pPr>
        <w:pStyle w:val="ListBullet"/>
      </w:pPr>
      <w:r>
        <w:rPr>
          <w:b/>
        </w:rPr>
        <w:t>Phase 3 z_road만 (0.5일)</w:t>
      </w:r>
      <w:r>
        <w:t>: 14-DOF에 노면 입력 단자 활성화 → C1/D5 검증 가능</w:t>
      </w:r>
    </w:p>
    <w:p>
      <w:pPr>
        <w:pStyle w:val="ListBullet"/>
      </w:pPr>
      <w:r>
        <w:rPr>
          <w:b/>
        </w:rPr>
        <w:t>P1+P1+ 8개 시나리오 일괄 실행</w:t>
      </w:r>
      <w:r>
        <w:t>: 모든 plant에서 baseline KPI 측정</w:t>
      </w:r>
    </w:p>
    <w:p>
      <w:pPr>
        <w:pStyle w:val="ListBullet"/>
      </w:pPr>
      <w:r>
        <w:rPr>
          <w:b/>
        </w:rPr>
        <w:t>제어기 설계 진입</w:t>
      </w:r>
      <w:r>
        <w:t xml:space="preserve"> — 각 서브제어기와 coordinator를 KPI 추구 방식으로 튜닝</w:t>
      </w:r>
    </w:p>
    <w:p>
      <w:r>
        <w:t xml:space="preserve">대략 </w:t>
      </w:r>
      <w:r>
        <w:rPr>
          <w:b/>
        </w:rPr>
        <w:t>4–6일 작업으로 ICC 검증 베드 완성</w:t>
      </w:r>
      <w:r>
        <w:t>. Phase 3 μ-split과 Phase 4 운전자 모델은 제어기 1차 튜닝 이후로 미룰 수 있음.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7a. MATLAB / 산업 시나리오 도구 호환성</w:t>
      </w:r>
    </w:p>
    <w:p>
      <w:r>
        <w:t xml:space="preserve">본 프로토콜의 </w:t>
      </w:r>
      <w:r>
        <w:rPr>
          <w:rFonts w:ascii="Consolas" w:hAnsi="Consolas"/>
          <w:sz w:val="20"/>
        </w:rPr>
        <w:t>scenario_dispatcher</w:t>
      </w:r>
      <w:r>
        <w:t>는 toolbox 의존성 없는 순수 함수 핸들 기반이라, 필요 시 다음 산업 표준/도구와 변환 가능.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도구 / 포맷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통합 방법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MATLAB RoadRunner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3D scene/도로 geometry (Mathworks)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도로 geometry만 — 우리 z_road 입력으로 변환 (OpenCRG export)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MATLAB RoadRunner Scenario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OpenSCENARIO 2.0 (Mathworks)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OSC 2.0 importer 필요 (Phase 6)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MATLAB Automated Driving Toolbox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rFonts w:ascii="Consolas" w:hAnsi="Consolas"/>
                <w:sz w:val="20"/>
              </w:rPr>
              <w:t>drivingScenario</w:t>
            </w:r>
            <w:r>
              <w:t>, DSD GUI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rFonts w:ascii="Consolas" w:hAnsi="Consolas"/>
                <w:sz w:val="20"/>
              </w:rPr>
              <w:t>scn_from_drivingScenario(ds)</w:t>
            </w:r>
            <w:r>
              <w:t xml:space="preserve"> wrapper로 actor 추출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MATLAB Vehicle Dynamics Blockset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Simulink 14-DOF + ISO 3888 ex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우리 plant를 MATLAB Function block으로 wrap 시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ASAM OpenSCENARIO 1.x / 2.x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XML scenario 표준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XML 파서 → ego maneuver 추출 → 우리 시나리오 포맷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ASAM OpenDRIVE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도로 네트워크 표준 (XML)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refPath 변환 (lane center → reference 경로)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ASAM OpenCRG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노면 거칠기 표준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z_road grid 직접 import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esmini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Open-source OpenSCENARIO player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외부 호출 + 결과 import</w:t>
            </w:r>
          </w:p>
        </w:tc>
      </w:tr>
    </w:tbl>
    <w:p/>
    <w:p>
      <w:r>
        <w:rPr>
          <w:b/>
        </w:rPr>
        <w:t>현재 ICC 베드 범위</w:t>
      </w:r>
      <w:r>
        <w:t>: 위 호환성은 모두 ADAS / 통합 시뮬레이션 영역. 본 protocol은 chassis 검증에 집중하므로 변환 작업은 Phase 6로 미정.</w:t>
      </w:r>
    </w:p>
    <w:p>
      <w:pPr>
        <w:pBdr>
          <w:bottom w:val="single" w:sz="6" w:space="1" w:color="808080"/>
        </w:pBdr>
      </w:pPr>
    </w:p>
    <w:p>
      <w:pPr>
        <w:pStyle w:val="Heading1"/>
      </w:pPr>
      <w:r>
        <w:rPr>
          <w:color w:val="1F3A6E"/>
        </w:rPr>
        <w:t>8. 참고 표준 및 출처 (ICC 범위 — 종/횡/수직 통합 샤시 제어)</w:t>
      </w:r>
    </w:p>
    <w:p>
      <w:pPr>
        <w:pStyle w:val="Heading2"/>
      </w:pPr>
      <w:r>
        <w:rPr>
          <w:color w:val="1F3A6E"/>
        </w:rPr>
        <w:t>8.1 횡방향 (Lateral, ESC/AFS/VDC)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제목 / 발행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3888-1:2018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Test track for a severe lane-change manoeuvre — Part 1: Double lane-change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DLC 트랙 정의 (lane width = 1.1·b + 0.25 m)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3888-2:2011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Part 2: Obstacle avoidance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좁은 lane (Moose test)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4138:2021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Steady-state circular driving behaviour — Open-loop test methods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Method 1 (constant radius) / 2 (constant speed) / 3 (constant steer)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7401:2011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Road vehicles — Lateral transient response test methods — Open-loop test methods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Step / sinusoidal / random / pulse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7975:2019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Braking in a turn — Open-loop test method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BIT KPI: yaw 이탈, lateral deviation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19365:2016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Validation of vehicle dynamic simulation — Sine with dwell stability control testing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FMVSS 126의 ISO 버전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NHTSA FMVSS 126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Federal Motor Vehicle Safety Standard No. 126 — Electronic Stability Control Systems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US 의무화 (2012-) — Sine-with-Dwell + lateral displacement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UN-R 79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UNECE Regulation No. 79 — Steering equipment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AFS, LKAS 인증 (Rev.4)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UN-R 13H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UNECE Regulation No. 13H — Brake performance for passenger cars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ESC 부속 11 — ESC 의무 기능 정의</w:t>
            </w:r>
          </w:p>
        </w:tc>
      </w:tr>
    </w:tbl>
    <w:p/>
    <w:p>
      <w:pPr>
        <w:pStyle w:val="Heading2"/>
      </w:pPr>
      <w:r>
        <w:rPr>
          <w:color w:val="1F3A6E"/>
        </w:rPr>
        <w:t>8.2 종방향 (Longitudinal, ABS/EBD/TC)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제목 / 발행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21994:2007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Stopping distance at straight-line braking with ABS — Open-loop test method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100→0 km/h dry, MFDD 정의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14512:1999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Passenger cars — Straight-ahead braking on surfaces with split coefficient of friction — Open-loop test method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Split-μ yaw 안정성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UN-R 13H</w:t>
            </w:r>
            <w:r>
              <w:t xml:space="preserve"> Annex 6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Test requirements for vehicles equipped with ABS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ABS 인증 (μ utilization ≥ 0.75)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SAE J2735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Brake-related Performance Standards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산업계 일반 가이드</w:t>
            </w:r>
          </w:p>
        </w:tc>
      </w:tr>
    </w:tbl>
    <w:p/>
    <w:p>
      <w:pPr>
        <w:pStyle w:val="Heading2"/>
      </w:pPr>
      <w:r>
        <w:rPr>
          <w:color w:val="1F3A6E"/>
        </w:rPr>
        <w:t>8.3 수직 (Vertical, CDC / Active Suspension)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제목 / 발행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2631-1:1997 + Amd 1:2010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Mechanical vibration and shock — Evaluation of human exposure to whole-body vibration — Part 1: General requirements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W_k 가중 함수, VDV 정의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2631-4:2001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Part 4: Guidelines for evaluation of effects of vibration and rotational motion on passenger and crew comfort in fixed-guideway transport systems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추가 가중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8608:2016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Mechanical vibration — Road surface profiles — Reporting of measured data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A/B/C/D/E/F/G/H Class PSD 정의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8855:2011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Road vehicles — Vehicle dynamics and road-holding ability — Vocabulary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좌표계, 슬립각 등 정의 (ICC 표기 표준)</w:t>
            </w:r>
          </w:p>
        </w:tc>
      </w:tr>
    </w:tbl>
    <w:p/>
    <w:p>
      <w:pPr>
        <w:pStyle w:val="Heading2"/>
      </w:pPr>
      <w:r>
        <w:rPr>
          <w:color w:val="1F3A6E"/>
        </w:rPr>
        <w:t>8.4 통합 / 한계 (D 카테고리)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표준/문서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NHTSA Final Rule FMVSS 126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Fishhook 및 Sine-with-Dwell의 원조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NHTSA Rollover Resistance Test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J-Turn 및 Fishhook (49 CFR 575.7)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ISO/PAS 22737:2021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Low-speed automated driving systems — Vocabulary</w:t>
            </w:r>
            <w:r>
              <w:t xml:space="preserve"> (참고)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OEM 사내 사양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μ-step skidpad, lift-off oversteer, corner-on-rough — 표준화 없음</w:t>
            </w:r>
          </w:p>
        </w:tc>
      </w:tr>
    </w:tbl>
    <w:p/>
    <w:p>
      <w:pPr>
        <w:pStyle w:val="Heading2"/>
      </w:pPr>
      <w:r>
        <w:rPr>
          <w:color w:val="1F3A6E"/>
        </w:rPr>
        <w:t>8.5 차량 동역학 교과서</w:t>
      </w:r>
    </w:p>
    <w:p>
      <w:pPr>
        <w:pStyle w:val="ListBullet"/>
      </w:pPr>
      <w:r>
        <w:rPr>
          <w:b/>
        </w:rPr>
        <w:t>Pacejka, H. B.</w:t>
      </w:r>
      <w:r>
        <w:t xml:space="preserve"> (2012). </w:t>
      </w:r>
      <w:r>
        <w:rPr>
          <w:i/>
        </w:rPr>
        <w:t>Tire and Vehicle Dynamics</w:t>
      </w:r>
      <w:r>
        <w:t>, 3rd ed., Butterworth-Heinemann. ISBN: 9780080970165.</w:t>
      </w:r>
    </w:p>
    <w:p>
      <w:pPr>
        <w:pStyle w:val="ListBullet"/>
      </w:pPr>
      <w:r>
        <w:rPr>
          <w:b/>
        </w:rPr>
        <w:t>Rajamani, R.</w:t>
      </w:r>
      <w:r>
        <w:t xml:space="preserve"> (2012). </w:t>
      </w:r>
      <w:r>
        <w:rPr>
          <w:i/>
        </w:rPr>
        <w:t>Vehicle Dynamics and Control</w:t>
      </w:r>
      <w:r>
        <w:t>, 2nd ed., Springer. DOI: 10.1007/978-1-4614-1433-9.</w:t>
      </w:r>
    </w:p>
    <w:p>
      <w:pPr>
        <w:pStyle w:val="ListBullet"/>
      </w:pPr>
      <w:r>
        <w:rPr>
          <w:b/>
        </w:rPr>
        <w:t>Gillespie, T. D.</w:t>
      </w:r>
      <w:r>
        <w:t xml:space="preserve"> (1992). </w:t>
      </w:r>
      <w:r>
        <w:rPr>
          <w:i/>
        </w:rPr>
        <w:t>Fundamentals of Vehicle Dynamics</w:t>
      </w:r>
      <w:r>
        <w:t>, SAE International, R-114. DOI: 10.4271/R-114.</w:t>
      </w:r>
    </w:p>
    <w:p>
      <w:pPr>
        <w:pStyle w:val="ListBullet"/>
      </w:pPr>
      <w:r>
        <w:rPr>
          <w:b/>
        </w:rPr>
        <w:t>Kiencke, U. &amp; Nielsen, L.</w:t>
      </w:r>
      <w:r>
        <w:t xml:space="preserve"> (2005). </w:t>
      </w:r>
      <w:r>
        <w:rPr>
          <w:i/>
        </w:rPr>
        <w:t>Automotive Control Systems — For Engine, Driveline, and Vehicle</w:t>
      </w:r>
      <w:r>
        <w:t>, 2nd ed., Springer. ISBN: 9783540231394.</w:t>
      </w:r>
    </w:p>
    <w:p>
      <w:pPr>
        <w:pStyle w:val="ListBullet"/>
      </w:pPr>
      <w:r>
        <w:rPr>
          <w:b/>
        </w:rPr>
        <w:t>Genta, G. &amp; Morello, L.</w:t>
      </w:r>
      <w:r>
        <w:t xml:space="preserve"> (2009). </w:t>
      </w:r>
      <w:r>
        <w:rPr>
          <w:i/>
        </w:rPr>
        <w:t>The Automotive Chassis</w:t>
      </w:r>
      <w:r>
        <w:t xml:space="preserve"> (Vol. 1: Components Design; Vol. 2: System Design), Springer.</w:t>
      </w:r>
    </w:p>
    <w:p>
      <w:pPr>
        <w:pStyle w:val="ListBullet"/>
      </w:pPr>
      <w:r>
        <w:rPr>
          <w:b/>
        </w:rPr>
        <w:t>Reza N. Jazar</w:t>
      </w:r>
      <w:r>
        <w:t xml:space="preserve"> (2017). </w:t>
      </w:r>
      <w:r>
        <w:rPr>
          <w:i/>
        </w:rPr>
        <w:t>Vehicle Dynamics: Theory and Application</w:t>
      </w:r>
      <w:r>
        <w:t>, 3rd ed., Springer.</w:t>
      </w:r>
    </w:p>
    <w:p>
      <w:pPr>
        <w:pStyle w:val="Heading2"/>
      </w:pPr>
      <w:r>
        <w:rPr>
          <w:color w:val="1F3A6E"/>
        </w:rPr>
        <w:t>8.6a KPI 정의 문헌 (계산식/임계값 근거)</w:t>
      </w:r>
    </w:p>
    <w:p>
      <w:pPr>
        <w:pStyle w:val="ListBullet"/>
      </w:pPr>
      <w:r>
        <w:rPr>
          <w:b/>
        </w:rPr>
        <w:t>van Zanten, A. T.</w:t>
      </w:r>
      <w:r>
        <w:t xml:space="preserve"> (2000). "Bosch ESP Systems: 5 Years of Experience." </w:t>
      </w:r>
      <w:r>
        <w:rPr>
          <w:i/>
        </w:rPr>
        <w:t>SAE 2000-01-1633</w:t>
      </w:r>
      <w:r>
        <w:t xml:space="preserve"> — VDC β-r 안정영역, ESC 개입 임계 정의.</w:t>
      </w:r>
    </w:p>
    <w:p>
      <w:pPr>
        <w:pStyle w:val="ListBullet"/>
      </w:pPr>
      <w:r>
        <w:rPr>
          <w:b/>
        </w:rPr>
        <w:t>Solmaz, S., Akar, M., Shorten, R.</w:t>
      </w:r>
      <w:r>
        <w:t xml:space="preserve"> (2007). "A Methodology for the Design of Robust Rollover Prevention Controllers — LTR criterion." </w:t>
      </w:r>
      <w:r>
        <w:rPr>
          <w:i/>
        </w:rPr>
        <w:t>Vehicle System Dynamics</w:t>
      </w:r>
      <w:r>
        <w:t>, 45(7-8).</w:t>
      </w:r>
    </w:p>
    <w:p>
      <w:pPr>
        <w:pStyle w:val="ListBullet"/>
      </w:pPr>
      <w:r>
        <w:rPr>
          <w:b/>
        </w:rPr>
        <w:t>Larish, C., Piyabongkarn, D., Tsourapas, V., Rajamani, R.</w:t>
      </w:r>
      <w:r>
        <w:t xml:space="preserve"> (2013). "A new predictive lateral load transfer ratio for rollover prevention systems." </w:t>
      </w:r>
      <w:r>
        <w:rPr>
          <w:i/>
        </w:rPr>
        <w:t>IEEE TVT</w:t>
      </w:r>
      <w:r>
        <w:t xml:space="preserve"> 62(7).</w:t>
      </w:r>
    </w:p>
    <w:p>
      <w:pPr>
        <w:pStyle w:val="ListBullet"/>
      </w:pPr>
      <w:r>
        <w:rPr>
          <w:b/>
        </w:rPr>
        <w:t>Bosch GmbH</w:t>
      </w:r>
      <w:r>
        <w:t xml:space="preserve"> (2014). </w:t>
      </w:r>
      <w:r>
        <w:rPr>
          <w:i/>
        </w:rPr>
        <w:t>Brake Handbook</w:t>
      </w:r>
      <w:r>
        <w:t>, 4th ed., Bentley Publishers — ABS slip target, μ-util 임계.</w:t>
      </w:r>
    </w:p>
    <w:p>
      <w:pPr>
        <w:pStyle w:val="ListBullet"/>
      </w:pPr>
      <w:r>
        <w:rPr>
          <w:b/>
        </w:rPr>
        <w:t>NHTSA</w:t>
      </w:r>
      <w:r>
        <w:t xml:space="preserve"> (2007). </w:t>
      </w:r>
      <w:r>
        <w:rPr>
          <w:i/>
        </w:rPr>
        <w:t>FMVSS 126 Final Rule — Electronic Stability Control Systems</w:t>
      </w:r>
      <w:r>
        <w:t xml:space="preserve"> (Federal Register Vol. 72, No. 65) — sine-with-dwell 평가 기준 도출 근거.</w:t>
      </w:r>
    </w:p>
    <w:p>
      <w:pPr>
        <w:pStyle w:val="ListBullet"/>
      </w:pPr>
      <w:r>
        <w:rPr>
          <w:b/>
        </w:rPr>
        <w:t>UNECE</w:t>
      </w:r>
      <w:r>
        <w:t xml:space="preserve"> (2014). </w:t>
      </w:r>
      <w:r>
        <w:rPr>
          <w:i/>
        </w:rPr>
        <w:t>Regulation No. 13H — Brake performance for passenger cars, Rev.4</w:t>
      </w:r>
      <w:r>
        <w:t xml:space="preserve"> — Type-0/Type-I 시험 절차 및 PASS 기준 (MFDD, 정지거리).</w:t>
      </w:r>
    </w:p>
    <w:p>
      <w:pPr>
        <w:pStyle w:val="ListBullet"/>
      </w:pPr>
      <w:r>
        <w:rPr>
          <w:b/>
        </w:rPr>
        <w:t>ISO 2631-1:1997 + Amd 1:2010</w:t>
      </w:r>
      <w:r>
        <w:t>, Annex B — comfort 등급 분류 (a_w_rms 대역) 및 VDV 임계.</w:t>
      </w:r>
    </w:p>
    <w:p>
      <w:pPr>
        <w:pStyle w:val="Heading2"/>
      </w:pPr>
      <w:r>
        <w:rPr>
          <w:color w:val="1F3A6E"/>
        </w:rPr>
        <w:t>8.6 ICC 통합 제어 문헌</w:t>
      </w:r>
    </w:p>
    <w:p>
      <w:pPr>
        <w:pStyle w:val="ListBullet"/>
      </w:pPr>
      <w:r>
        <w:rPr>
          <w:b/>
        </w:rPr>
        <w:t>Yi, K., Hedrick, K.</w:t>
      </w:r>
      <w:r>
        <w:t xml:space="preserve"> (1995). "A study on tire/road friction estimation for ABS/ICC systems." </w:t>
      </w:r>
      <w:r>
        <w:rPr>
          <w:i/>
        </w:rPr>
        <w:t>Int. J. Vehicle Design</w:t>
      </w:r>
      <w:r>
        <w:t>.</w:t>
      </w:r>
    </w:p>
    <w:p>
      <w:pPr>
        <w:pStyle w:val="ListBullet"/>
      </w:pPr>
      <w:r>
        <w:rPr>
          <w:b/>
        </w:rPr>
        <w:t>He, J., Crolla, D. A., Levesley, M. C., Manning, W. J.</w:t>
      </w:r>
      <w:r>
        <w:t xml:space="preserve"> (2006). "Coordination of active steering, driveline, and braking for integrated vehicle dynamics control." </w:t>
      </w:r>
      <w:r>
        <w:rPr>
          <w:i/>
        </w:rPr>
        <w:t>Proc. IMechE Part D</w:t>
      </w:r>
      <w:r>
        <w:t>.</w:t>
      </w:r>
    </w:p>
    <w:p>
      <w:pPr>
        <w:pStyle w:val="ListBullet"/>
      </w:pPr>
      <w:r>
        <w:rPr>
          <w:b/>
        </w:rPr>
        <w:t>Falcone, P., Tseng, H. E., Borrelli, F., Asgari, J., Hrovat, D.</w:t>
      </w:r>
      <w:r>
        <w:t xml:space="preserve"> (2008). "MPC-based yaw and lateral stabilisation via active front steering and braking." </w:t>
      </w:r>
      <w:r>
        <w:rPr>
          <w:i/>
        </w:rPr>
        <w:t>Vehicle System Dynamics</w:t>
      </w:r>
      <w:r>
        <w:t>, 46(S1).</w:t>
      </w:r>
    </w:p>
    <w:p>
      <w:pPr>
        <w:pStyle w:val="ListBullet"/>
      </w:pPr>
      <w:r>
        <w:rPr>
          <w:b/>
        </w:rPr>
        <w:t>Hsu, L.-Y., Chen, T.-L.</w:t>
      </w:r>
      <w:r>
        <w:t xml:space="preserve"> (2012). "Vehicle full-state estimation and prediction system using state observers." </w:t>
      </w:r>
      <w:r>
        <w:rPr>
          <w:i/>
        </w:rPr>
        <w:t>IEEE TVT</w:t>
      </w:r>
      <w:r>
        <w:t>.</w:t>
      </w:r>
    </w:p>
    <w:p>
      <w:pPr>
        <w:pStyle w:val="ListBullet"/>
      </w:pPr>
      <w:r>
        <w:rPr>
          <w:b/>
        </w:rPr>
        <w:t>Tjønnås, J., Johansen, T. A.</w:t>
      </w:r>
      <w:r>
        <w:t xml:space="preserve"> (2010). "Stabilization of automotive vehicles using active steering and adaptive brake control allocation." </w:t>
      </w:r>
      <w:r>
        <w:rPr>
          <w:i/>
        </w:rPr>
        <w:t>IEEE TCST</w:t>
      </w:r>
      <w:r>
        <w:t>, 18(3).</w:t>
      </w:r>
    </w:p>
    <w:p>
      <w:pPr>
        <w:pStyle w:val="ListBullet"/>
      </w:pPr>
      <w:r>
        <w:rPr>
          <w:b/>
        </w:rPr>
        <w:t>Doumiati, M., Sename, O., Dugard, L., et al.</w:t>
      </w:r>
      <w:r>
        <w:t xml:space="preserve"> (2013). "Integrated vehicle dynamics control via coordination of active front steering and rear braking." </w:t>
      </w:r>
      <w:r>
        <w:rPr>
          <w:i/>
        </w:rPr>
        <w:t>European J. of Control</w:t>
      </w:r>
      <w:r>
        <w:t>.</w:t>
      </w:r>
    </w:p>
    <w:p>
      <w:pPr>
        <w:pStyle w:val="Heading2"/>
      </w:pPr>
      <w:r>
        <w:rPr>
          <w:color w:val="1F3A6E"/>
        </w:rPr>
        <w:t>8.7 외부 도구</w:t>
      </w:r>
    </w:p>
    <w:p>
      <w:pPr>
        <w:pStyle w:val="ListBullet"/>
      </w:pPr>
      <w:r>
        <w:rPr>
          <w:b/>
        </w:rPr>
        <w:t>IPG Automotive GmbH</w:t>
      </w:r>
      <w:r>
        <w:t xml:space="preserve"> (2023). </w:t>
      </w:r>
      <w:r>
        <w:rPr>
          <w:i/>
        </w:rPr>
        <w:t>CarMaker Reference Manual v15.0</w:t>
      </w:r>
      <w:r>
        <w:t xml:space="preserve"> — ScriptControl API, RT 타이어 lookup format, MF-Tyre/MF-Swift 통합.</w:t>
      </w:r>
    </w:p>
    <w:p>
      <w:pPr>
        <w:pStyle w:val="ListBullet"/>
      </w:pPr>
      <w:r>
        <w:rPr>
          <w:b/>
        </w:rPr>
        <w:t>MathWorks</w:t>
      </w:r>
      <w:r>
        <w:t xml:space="preserve"> (2024). </w:t>
      </w:r>
      <w:r>
        <w:rPr>
          <w:i/>
        </w:rPr>
        <w:t>Vehicle Dynamics Blockset Documentation</w:t>
      </w:r>
      <w:r>
        <w:t xml:space="preserve"> — 14-DOF 참조 구현.</w:t>
      </w:r>
    </w:p>
    <w:p>
      <w:pPr>
        <w:pStyle w:val="Heading2"/>
      </w:pPr>
      <w:r>
        <w:rPr>
          <w:color w:val="1F3A6E"/>
        </w:rPr>
        <w:t>8.8 오픈소스 차량 동역학 / 시나리오 라이브러리 (GitHub)</w:t>
      </w:r>
    </w:p>
    <w:p>
      <w:pPr>
        <w:pStyle w:val="ListBullet"/>
      </w:pPr>
      <w:r>
        <w:rPr>
          <w:b/>
        </w:rPr>
        <w:t>CommonRoad-Vehicle-Models</w:t>
      </w:r>
      <w:r>
        <w:t xml:space="preserve"> — https://github.com/CommonRoad/commonroad-vehicle-models — 1/2/3/7-DOF 단일트랙 모델 (Python/MATLAB), BMW 320i 파라미터 포함.</w:t>
      </w:r>
    </w:p>
    <w:p>
      <w:pPr>
        <w:pStyle w:val="ListBullet"/>
      </w:pPr>
      <w:r>
        <w:rPr>
          <w:b/>
        </w:rPr>
        <w:t>CARLA Simulator</w:t>
      </w:r>
      <w:r>
        <w:t xml:space="preserve"> — https://github.com/carla-simulator/carla — 시나리오 작성 도구 + 차량 동역학 reference.</w:t>
      </w:r>
    </w:p>
    <w:p>
      <w:pPr>
        <w:pStyle w:val="ListBullet"/>
      </w:pPr>
      <w:r>
        <w:rPr>
          <w:b/>
        </w:rPr>
        <w:t>comma.ai openpilot</w:t>
      </w:r>
      <w:r>
        <w:t xml:space="preserve"> — https://github.com/commaai/openpilot — 양산 차량 동역학 모델 (selfdrive/controls/lib/vehicle_model.py).</w:t>
      </w:r>
    </w:p>
    <w:p>
      <w:pPr>
        <w:pStyle w:val="ListBullet"/>
      </w:pPr>
      <w:r>
        <w:rPr>
          <w:b/>
        </w:rPr>
        <w:t>OpenSCENARIO</w:t>
      </w:r>
      <w:r>
        <w:t xml:space="preserve"> — https://github.com/OpenSCENARIO — 시나리오 표준 포맷 (XML 기반).</w:t>
      </w:r>
    </w:p>
    <w:p>
      <w:pPr>
        <w:pStyle w:val="ListBullet"/>
      </w:pPr>
      <w:r>
        <w:rPr>
          <w:b/>
        </w:rPr>
        <w:t>PEGASUS Project</w:t>
      </w:r>
      <w:r>
        <w:t xml:space="preserve"> — https://www.pegasusprojekt.de/en/ — 자율주행 시나리오 표준화 프레임워크.</w:t>
      </w:r>
    </w:p>
    <w:p>
      <w:pPr>
        <w:pStyle w:val="Heading2"/>
      </w:pPr>
      <w:r>
        <w:rPr>
          <w:color w:val="1F3A6E"/>
        </w:rPr>
        <w:t>8.9 범위 외 (ADAS — 별건 프로토콜)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표준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15622:2018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Adaptive cruise control systems — Performance requirements and test procedures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22179:2009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Full-speed range adaptive cruise control (FSRA)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11270:2014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Lane keeping assistance systems (LKAS)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ISO 17387:2008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Lane change decision aid systems (LCDAS)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UN-R 152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i/>
              </w:rPr>
              <w:t>AEBS for M1 / N1</w:t>
            </w:r>
          </w:p>
        </w:tc>
      </w:tr>
      <w:tr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rPr>
                <w:b/>
              </w:rPr>
              <w:t>Euro NCAP AEB Protocol v4.4</w:t>
            </w:r>
          </w:p>
        </w:tc>
        <w:tc>
          <w:tcPr>
            <w:tcW w:type="dxa" w:w="49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r/>
            <w:r>
              <w:t>Car-to-Car (CCRs, CCRm, CCRb), Pedestrian (CPNA, CPFA), Cyclist (CBNA)</w:t>
            </w:r>
          </w:p>
        </w:tc>
      </w:tr>
    </w:tbl>
    <w:p/>
    <w:p>
      <w:r>
        <w:t>이들은 인지/계획 레이어를 포함 → ICC 샤시 제어 검증 베드와는 별도 프로토콜로 분리.</w:t>
      </w:r>
    </w:p>
    <w:p>
      <w:pPr>
        <w:pBdr>
          <w:bottom w:val="single" w:sz="6" w:space="1" w:color="808080"/>
        </w:pBdr>
      </w:pPr>
    </w:p>
    <w:p>
      <w:r>
        <w:rPr>
          <w:i/>
        </w:rPr>
        <w:t>문서 끝. 이 문서는 제어기 설계 진입 전 검증 베드 합의용 초안임. 우선순위/단계 조정은 다음 결정에서.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