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00"/>
        <w:jc w:val="center"/>
      </w:pPr>
      <w:r>
        <w:rPr>
          <w:rFonts w:eastAsia="Noto Sans CJK SC"/>
          <w:b/>
          <w:color w:val="13232B"/>
          <w:sz w:val="58"/>
        </w:rPr>
        <w:t>弹珠领土：卡牌前线</w:t>
      </w:r>
    </w:p>
    <w:p>
      <w:pPr>
        <w:spacing w:after="0"/>
        <w:jc w:val="center"/>
      </w:pPr>
      <w:r>
        <w:rPr>
          <w:rFonts w:eastAsia="Noto Sans CJK SC"/>
          <w:b/>
          <w:color w:val="287A82"/>
          <w:sz w:val="40"/>
        </w:rPr>
        <w:t>美术方向与 3D 资产生产规范</w:t>
      </w:r>
    </w:p>
    <w:p>
      <w:pPr>
        <w:spacing w:after="0"/>
        <w:jc w:val="center"/>
      </w:pPr>
      <w:r>
        <w:rPr>
          <w:i/>
        </w:rPr>
        <w:t>Cardfront Art &amp; 3D Production Specification</w:t>
      </w:r>
    </w:p>
    <w:p>
      <w:pPr>
        <w:spacing w:after="0"/>
        <w:jc w:val="center"/>
      </w:pPr>
      <w:r>
        <w:rPr>
          <w:b/>
          <w:color w:val="D79A00"/>
        </w:rPr>
        <w:t>v0.1 · 决策冻结稿 · 2026-08-18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文档定位</w:t>
            </w:r>
          </w:p>
          <w:p>
            <w:pPr>
              <w:spacing w:after="0" w:line="269" w:lineRule="auto"/>
            </w:pPr>
            <w:r>
              <w:t>本文件只冻结已经通过 GrillMe 明确确认的 A → A3 → C → B → B2。标记【建议值】的数值仍需实机截图/性能证据校准；【待决策】不得由 Agent 自行补完。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已锁定选择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一句话定义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70% 玩具战争沙盘 + 30% 微缩世界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规则世界与 3D 实体统一为桌面战争沙盘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连续沙盘 + 弱格纹 + 强状态块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格子平时弱化，战略状态时显形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模块化战争棋子 HQ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城堡骨架 + 机械炮座 + 地图/英雄模块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三级战术轮廓体系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塔=1.0；HQ 宽厚；据点宽低；桥宽更低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完整但受控的模块化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Common + Hero + Theme + Faction Material + Damage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>1. 世界与地表语言：A + A3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【锁定 A】</w:t>
            </w:r>
          </w:p>
          <w:p>
            <w:pPr>
              <w:spacing w:after="0" w:line="269" w:lineRule="auto"/>
            </w:pPr>
            <w:r>
              <w:t>玩家应把战场理解为一块真实存在的桌面战争沙盘：有厚度、倒角、凹下河道和可插入建筑；同时保留草地、河岸、道路等微缩世界质感。不是写实军棋，也不是纯抽象 Debug Grid。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【锁定 A3】</w:t>
            </w:r>
          </w:p>
          <w:p>
            <w:pPr>
              <w:spacing w:after="0" w:line="269" w:lineRule="auto"/>
            </w:pPr>
            <w:r>
              <w:t>地表连续；逻辑格仍存在但不抢镜。普通同阵营内部应读成连续控制区；部署、命中、孤立占领、前线和防御等战略状态才强化格子。</w:t>
            </w:r>
          </w:p>
        </w:tc>
      </w:tr>
    </w:tbl>
    <w:p>
      <w:pPr>
        <w:spacing w:after="100" w:line="276" w:lineRule="auto"/>
      </w:pPr>
      <w:r>
        <w:t>视觉高度固定为 L0-L4：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沙盘底座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厚底板/外围包边，证明“这是实体沙盘”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普通地面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连续草地/泥土大色块，弱格纹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领土状态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低强度 tint + inset rim；不把整图涂成蓝/红塑料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L3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前线/防御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前线边界最强；0-4 级防御尽量实体可读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L4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据点/塔/HQ/桥闸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真正的 3D 战术地标；HQ 最高视觉优先</w:t>
            </w:r>
          </w:p>
        </w:tc>
      </w:tr>
    </w:tbl>
    <w:p>
      <w:pPr>
        <w:pStyle w:val="ListBullet"/>
        <w:spacing w:after="40"/>
      </w:pPr>
      <w:r>
        <w:t>普通内部边界应弱化；真正阵营交界/前线使用更厚的暗底边 + 阵营 rim。</w:t>
      </w:r>
    </w:p>
    <w:p>
      <w:pPr>
        <w:pStyle w:val="ListBullet"/>
        <w:spacing w:after="40"/>
      </w:pPr>
      <w:r>
        <w:t>孤立占领格允许像独立棋片/插旗点一样显形，避免散落领土丢失识别。</w:t>
      </w:r>
    </w:p>
    <w:p>
      <w:pPr>
        <w:pStyle w:val="ListBullet"/>
        <w:spacing w:after="40"/>
      </w:pPr>
      <w:r>
        <w:t>防御值优先用矮墙、护板、沙袋等层级表达，数字只作为辅助。</w:t>
      </w:r>
    </w:p>
    <w:p>
      <w:pPr>
        <w:pStyle w:val="Heading1"/>
      </w:pPr>
      <w:r>
        <w:t>2. HQ 造型语言：C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【锁定 C】</w:t>
            </w:r>
          </w:p>
          <w:p>
            <w:pPr>
              <w:spacing w:after="0" w:line="269" w:lineRule="auto"/>
            </w:pPr>
            <w:r>
              <w:t>HQ = 模块化战争棋子：共享城堡式厚底座/骨架 + 机械旋转炮座 + 英雄模块 + 地图主题模块。HQ 必须靠灰度轮廓就能与普通塔区分。</w:t>
            </w:r>
          </w:p>
        </w:tc>
      </w:tr>
    </w:tbl>
    <w:p>
      <w:pPr>
        <w:pStyle w:val="ListBullet"/>
        <w:spacing w:after="40"/>
      </w:pPr>
      <w:r>
        <w:t>HQ 主要靠“宽、厚、三段式”成为目标，不做遮挡弹道的巨型高塔。</w:t>
      </w:r>
    </w:p>
    <w:p>
      <w:pPr>
        <w:pStyle w:val="ListBullet"/>
        <w:spacing w:after="40"/>
      </w:pPr>
      <w:r>
        <w:t>Default/Castle 可用石、木、旗；Industrial 用管道/铆板；Lab 用晶体/能量环/陶瓷护板，但主题模块不得改变核心 bounding box。</w:t>
      </w:r>
    </w:p>
    <w:p>
      <w:pPr>
        <w:pStyle w:val="ListBullet"/>
        <w:spacing w:after="40"/>
      </w:pPr>
      <w:r>
        <w:t>英雄差异至少作用在炮塔上部与左右肩部两个区域，不能只换颜色或一根炮管。</w:t>
      </w:r>
    </w:p>
    <w:p>
      <w:pPr>
        <w:spacing w:after="0"/>
      </w:pPr>
      <w:r>
        <w:br/>
      </w:r>
    </w:p>
    <w:p>
      <w:pPr>
        <w:pStyle w:val="Heading1"/>
      </w:pPr>
      <w:r>
        <w:t>3. 建筑尺寸与轮廓体系：B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【锁定 B】</w:t>
            </w:r>
          </w:p>
          <w:p>
            <w:pPr>
              <w:spacing w:after="0" w:line="269" w:lineRule="auto"/>
            </w:pPr>
            <w:r>
              <w:t>普通防御塔为 1.0 视觉基准；HQ 主要靠宽度升级而不是高度；据点可宽但必须低；桥负责横向引导，不能形成高门楼。英雄变化不得改变 HQ 核心尺寸。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613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相对高度</w:t>
            </w:r>
          </w:p>
        </w:tc>
        <w:tc>
          <w:tcPr>
            <w:tcW w:type="dxa" w:w="2613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建议视觉占地/宽度</w:t>
            </w:r>
          </w:p>
        </w:tc>
        <w:tc>
          <w:tcPr>
            <w:tcW w:type="dxa" w:w="2613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小型战斗实体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塔的 0.45-0.70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 0.6-0.9 格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建议值</w:t>
            </w:r>
          </w:p>
        </w:tc>
      </w:tr>
      <w:tr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普通防御塔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1.00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视觉核心约 1.3×1.3 格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锁定基准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据点核心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0.60-1.10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 2-3 格，宽低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建议值</w:t>
            </w:r>
          </w:p>
        </w:tc>
      </w:tr>
      <w:tr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桥边栏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0.30-0.45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桥体横向明显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建议值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闸门机械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0.60-0.80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不得形成高门楼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建议值</w:t>
            </w:r>
          </w:p>
        </w:tc>
      </w:tr>
      <w:tr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HQ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1.35-1.55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宽约塔 2.2-2.6 倍；视觉占地约 5-6×3-4 格</w:t>
            </w:r>
          </w:p>
        </w:tc>
        <w:tc>
          <w:tcPr>
            <w:tcW w:type="dxa" w:w="2613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方向锁定/数值建议</w:t>
            </w:r>
          </w:p>
        </w:tc>
      </w:tr>
    </w:tbl>
    <w:p>
      <w:pPr>
        <w:spacing w:after="100" w:line="276" w:lineRule="auto"/>
      </w:pPr>
      <w:r>
        <w:t>“格”均指 presentation footprint，不修改 2D 权威碰撞、路线、地图格和胜负规则。</w:t>
      </w:r>
    </w:p>
    <w:p>
      <w:pPr>
        <w:pStyle w:val="Heading1"/>
      </w:pPr>
      <w:r>
        <w:t>4. HQ 模块化资产架构：B2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【锁定 B2】</w:t>
            </w:r>
          </w:p>
          <w:p>
            <w:pPr>
              <w:spacing w:after="0" w:line="269" w:lineRule="auto"/>
            </w:pPr>
            <w:r>
              <w:t>HQ = Common Skeleton + Hero Module + Theme Module + Faction Material + Damage Module。禁止按“英雄 × 地图 × 阵营”复制整栋 HQ。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模块/节点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硬约束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HQ_Root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统一根节点/装配入口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不可合并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尺寸锚、厚底盘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所有英雄共享核心尺寸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“摧毁这里就赢”的视觉锚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外壳可主题化，Socket 不变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TurretPivot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炮塔真实旋转轴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绝不能与主体合并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WeaponSocket / Weapon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英雄主要武器差异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独立，便于旋转/换装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HeroModuleSocket_A/B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顶部与肩部英雄识别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不改变核心 bounding box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ThemeModuleSocket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Castle / Industrial / Lab 装饰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只改主题槽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FactionPanels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蓝/红阵营换色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 mesh + 换材质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Damage_01/02/03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阶段破损几何/护板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独立显隐，不做四套完整 HQ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VFXSockets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Muzzle/Hit/Smoke/Destroy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必须独立保留</w:t>
            </w:r>
          </w:p>
        </w:tc>
      </w:tr>
    </w:tbl>
    <w:p>
      <w:pPr>
        <w:spacing w:after="0"/>
      </w:pPr>
      <w:r>
        <w:br/>
      </w:r>
    </w:p>
    <w:p>
      <w:pPr>
        <w:pStyle w:val="Heading1"/>
      </w:pPr>
      <w:r>
        <w:t>5. Blender 生产规范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227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单位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Blender Unit = 1 Godot meter</w:t>
            </w:r>
          </w:p>
        </w:tc>
      </w:tr>
      <w:tr>
        <w:tc>
          <w:tcPr>
            <w:tcW w:type="dxa" w:w="5227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Origin</w:t>
            </w:r>
          </w:p>
        </w:tc>
        <w:tc>
          <w:tcPr>
            <w:tcW w:type="dxa" w:w="5227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底座中心；旋转件 Origin 必须位于真实机械旋转轴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 / Forward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+Y / -Z</w:t>
            </w:r>
          </w:p>
        </w:tc>
      </w:tr>
      <w:tr>
        <w:tc>
          <w:tcPr>
            <w:tcW w:type="dxa" w:w="5227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 Transform</w:t>
            </w:r>
          </w:p>
        </w:tc>
        <w:tc>
          <w:tcPr>
            <w:tcW w:type="dxa" w:w="5227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 Scale = 1,1,1；Rotation = 0,0,0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Godot 缩放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优先统一 scalar；禁止依赖强非等比拉伸修形</w:t>
            </w:r>
          </w:p>
        </w:tc>
      </w:tr>
    </w:tbl>
    <w:p>
      <w:pPr>
        <w:spacing w:after="100" w:line="276" w:lineRule="auto"/>
      </w:pPr>
      <w:r>
        <w:t>建议母文件：cardfront_hq_master.blend。Collection 按生产职责组织：00_REFERENCE、01_COMMON、02_HERO、03_THEME、04_DAMAGE、05_SOCKETS、99_EXPORT。</w:t>
      </w:r>
    </w:p>
    <w:p>
      <w:pPr>
        <w:spacing w:after="100" w:line="276" w:lineRule="auto"/>
      </w:pPr>
      <w:r>
        <w:t>首轮建议三角面预算（不是硬件上限）：HQ 约 3k-6k；普通塔约 0.8k-2k；桥模块约 0.5k-1.5k；外围树石约 0.1k-0.8k。优先级固定为：轮廓 &gt; 大色块 &gt; 倒角受光 &gt; 动画反馈 &gt; 小纹理细节。</w:t>
      </w:r>
    </w:p>
    <w:p>
      <w:pPr>
        <w:pStyle w:val="ListBullet"/>
        <w:spacing w:after="40"/>
      </w:pPr>
      <w:r>
        <w:t>蓝/红阵营不建两套 Mesh；使用 Faction Primary/Secondary 与 Core/Emissive 等可替换材质槽。</w:t>
      </w:r>
    </w:p>
    <w:p>
      <w:pPr>
        <w:pStyle w:val="ListBullet"/>
        <w:spacing w:after="40"/>
      </w:pPr>
      <w:r>
        <w:t>Damage 第一版用局部护板显隐 + VFX + 可飞散件，不做 100/70/40/15% 四套完整模型。</w:t>
      </w:r>
    </w:p>
    <w:p>
      <w:pPr>
        <w:pStyle w:val="ListBullet"/>
        <w:spacing w:after="40"/>
      </w:pPr>
      <w:r>
        <w:t>正式 HQ benchmark 必须在 Blender 把比例做对，替代当前通过非等比 runtime scale 压扁/拉宽的过渡做法。</w:t>
      </w:r>
    </w:p>
    <w:p>
      <w:pPr>
        <w:pStyle w:val="Heading1"/>
      </w:pPr>
      <w:r>
        <w:t>6. Godot 接入与权威边界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6F3F5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287A82"/>
                <w:sz w:val="21"/>
              </w:rPr>
              <w:t>现有架构边界</w:t>
            </w:r>
          </w:p>
          <w:p>
            <w:pPr>
              <w:spacing w:after="0" w:line="269" w:lineRule="auto"/>
            </w:pPr>
            <w:r>
              <w:t>Cardfront 的权威状态与弹体模拟继续保持 2D；正交 Camera3D 只镜像领土、防御、闸门、弹体、建筑和效果。任何美术替换不得形成第二套碰撞/占领/胜负权威。</w:t>
            </w:r>
          </w:p>
        </w:tc>
      </w:tr>
    </w:tbl>
    <w:p>
      <w:pPr>
        <w:pStyle w:val="ListBullet"/>
        <w:spacing w:after="40"/>
      </w:pPr>
      <w:r>
        <w:t>正式 3D 资产通过集中 Registry 接入，不把 raw path 散落到 Main.gd 或效果处理器。</w:t>
      </w:r>
    </w:p>
    <w:p>
      <w:pPr>
        <w:pStyle w:val="ListBullet"/>
        <w:spacing w:after="40"/>
      </w:pPr>
      <w:r>
        <w:t>桥、闸门、据点、HQ 的视觉 footprint 可以超出逻辑格，但不能改变逻辑碰撞、路线和 gate authority。</w:t>
      </w:r>
    </w:p>
    <w:p>
      <w:pPr>
        <w:pStyle w:val="ListBullet"/>
        <w:spacing w:after="40"/>
      </w:pPr>
      <w:r>
        <w:t>重复外围资产优先 MultiMesh；先控制材质数量、透明材质、阴影和 VFX 成本，再考虑复杂 LOD。</w:t>
      </w:r>
    </w:p>
    <w:p>
      <w:pPr>
        <w:spacing w:after="0"/>
      </w:pPr>
      <w:r>
        <w:br/>
      </w:r>
    </w:p>
    <w:p>
      <w:pPr>
        <w:pStyle w:val="Heading1"/>
      </w:pPr>
      <w:r>
        <w:t>7. default_duel 首批生产范围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【范围冻结】</w:t>
            </w:r>
          </w:p>
          <w:p>
            <w:pPr>
              <w:spacing w:after="0" w:line="269" w:lineRule="auto"/>
            </w:pPr>
            <w:r>
              <w:t>第一轮只完成 default_duel benchmark。HQ 只生产：HQ Common + Balanced Hero + Castle Theme + Blue/Red faction material + 基础 Damage/VFX sockets。Rapid、Engineer、Industrial、Lab 均在 benchmark 实机通过后追加。</w:t>
            </w:r>
          </w:p>
        </w:tc>
      </w:tr>
    </w:tbl>
    <w:p>
      <w:pPr>
        <w:spacing w:after="100" w:line="276" w:lineRule="auto"/>
      </w:pPr>
      <w:r>
        <w:t>优先生产顺序：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资产/系统</w:t>
            </w:r>
          </w:p>
        </w:tc>
        <w:tc>
          <w:tcPr>
            <w:tcW w:type="dxa" w:w="3485"/>
            <w:shd w:fill="13232B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首批目标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光影/接触阴影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一套主光 + 柔环境填充 + 克制接触阴影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沙盘地表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L0/L1 + A3 弱格纹/前线层，消除 Debug Grid 第一印象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HQ Benchmark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Common + Balanced + Castle + 蓝/红材质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桥 + 闸门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正式低矮桥体、河岸、闸门机械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据点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以模型核心表达能源/实验室等类型，降低巨型 UI 方块感</w:t>
            </w:r>
          </w:p>
        </w:tc>
      </w:tr>
      <w:tr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UI/VFX 对齐</w:t>
            </w:r>
          </w:p>
        </w:tc>
        <w:tc>
          <w:tcPr>
            <w:tcW w:type="dxa" w:w="3485"/>
            <w:shd w:fill="F2F4F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HQ HP 主轴、强化卡视觉、命中/占领反馈</w:t>
            </w:r>
          </w:p>
        </w:tc>
      </w:tr>
    </w:tbl>
    <w:p>
      <w:pPr>
        <w:pStyle w:val="Heading1"/>
      </w:pPr>
      <w:r>
        <w:t>8. 实机验收清单</w:t>
      </w:r>
    </w:p>
    <w:p>
      <w:pPr>
        <w:pStyle w:val="ListBullet"/>
        <w:spacing w:after="40"/>
      </w:pPr>
      <w:r>
        <w:t>灰度截图下，HQ 明显比普通塔高级且一眼可找。</w:t>
      </w:r>
    </w:p>
    <w:p>
      <w:pPr>
        <w:pStyle w:val="ListBullet"/>
        <w:spacing w:after="40"/>
      </w:pPr>
      <w:r>
        <w:t>蓝/红 HQ 不依赖 HUD 仍可分阵营；阵营只换材质，不复制 mesh。</w:t>
      </w:r>
    </w:p>
    <w:p>
      <w:pPr>
        <w:pStyle w:val="ListBullet"/>
        <w:spacing w:after="40"/>
      </w:pPr>
      <w:r>
        <w:t>HQ 不遮挡关键弹道、桥口与后方格线；完整可用射角旋转不明显穿模。</w:t>
      </w:r>
    </w:p>
    <w:p>
      <w:pPr>
        <w:pStyle w:val="ListBullet"/>
        <w:spacing w:after="40"/>
      </w:pPr>
      <w:r>
        <w:t>112% 实机视图英雄轮廓可辨；100% 仍能定位 HQ；120% 不进入关键 HUD 遮挡区。</w:t>
      </w:r>
    </w:p>
    <w:p>
      <w:pPr>
        <w:pStyle w:val="ListBullet"/>
        <w:spacing w:after="40"/>
      </w:pPr>
      <w:r>
        <w:t>正式 GLB 关键节点 Transform 正常，整体不依赖强非等比 scale。</w:t>
      </w:r>
    </w:p>
    <w:p>
      <w:pPr>
        <w:pStyle w:val="ListBullet"/>
        <w:spacing w:after="40"/>
      </w:pPr>
      <w:r>
        <w:t>Godot 运行无新增 error/warning；2D authority、碰撞、路线、胜负规则保持一致。</w:t>
      </w:r>
    </w:p>
    <w:p>
      <w:pPr>
        <w:pStyle w:val="ListBullet"/>
        <w:spacing w:after="40"/>
      </w:pPr>
      <w:r>
        <w:t>输出 deterministic 对比截图：双方 HQ、两座桥、占领边界、活动弹体、至少一单位与一防御塔。</w:t>
      </w:r>
    </w:p>
    <w:p>
      <w:pPr>
        <w:pStyle w:val="ListBullet"/>
        <w:spacing w:after="40"/>
      </w:pPr>
      <w:r>
        <w:t>桌面与窄视口都复核；模型 vendor preview 或单独 Blender render 不能作为 GO 证据。</w:t>
      </w:r>
    </w:p>
    <w:p>
      <w:pPr>
        <w:pStyle w:val="Heading1"/>
      </w:pPr>
      <w:r>
        <w:t>9. 待决策项（不得由 Agent 自行补完）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8EFCF"/>
          </w:tcPr>
          <w:p>
            <w:pPr>
              <w:spacing w:after="40"/>
            </w:pPr>
            <w:r/>
            <w:r>
              <w:rPr>
                <w:rFonts w:eastAsia="Noto Sans CJK SC"/>
                <w:b/>
                <w:color w:val="D79A00"/>
                <w:sz w:val="21"/>
              </w:rPr>
              <w:t>下一轮 GrillMe：统一材质语言</w:t>
            </w:r>
          </w:p>
          <w:p>
            <w:pPr>
              <w:spacing w:after="0" w:line="269" w:lineRule="auto"/>
            </w:pPr>
            <w:r>
              <w:t>① 纯色 low-poly 玩具塑料；② 有石/木/金属材质暗示但仍保持玩具化。该选择将决定 bevel、UV、roughness/metallic、AO、贴图分辨率以及是否需要更正式纹理工作流。确认前可做结构 blockout、比例、Socket/Origin，不应批量制作最终材质。</w:t>
            </w:r>
          </w:p>
        </w:tc>
      </w:tr>
    </w:tbl>
    <w:p>
      <w:pPr>
        <w:pStyle w:val="Heading1"/>
      </w:pPr>
      <w:r>
        <w:t>10. 仓库变更纪律</w:t>
      </w:r>
    </w:p>
    <w:p>
      <w:pPr>
        <w:pStyle w:val="ListBullet"/>
        <w:spacing w:after="40"/>
      </w:pPr>
      <w:r>
        <w:t>本文是生产规范，不替代 docs/PROJECT_STATUS.md 的当前状态唯一入口。</w:t>
      </w:r>
    </w:p>
    <w:p>
      <w:pPr>
        <w:pStyle w:val="ListBullet"/>
        <w:spacing w:after="40"/>
      </w:pPr>
      <w:r>
        <w:t>美术接入不移动/删除现有运行时代码与测试；资产迁移必须先做引用审计。</w:t>
      </w:r>
    </w:p>
    <w:p>
      <w:pPr>
        <w:pStyle w:val="ListBullet"/>
        <w:spacing w:after="40"/>
      </w:pPr>
      <w:r>
        <w:t>每次改变已锁定 A/A3/C/B/B2，都需要新的实机截图、可读性理由和回归证据，不允许因“模型更好看”静默改变。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3656E"/>
        <w:sz w:val="16"/>
      </w:rPr>
      <w:t>Marble Dominion: Cardfront   •   2026-08-18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656E"/>
        <w:sz w:val="16"/>
      </w:rPr>
      <w:t>CARDFRONT  |  ART &amp; 3D PRODUCTION SPEC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232B"/>
      <w:sz w:val="3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