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2E74B5"/>
          <w:sz w:val="19"/>
        </w:rPr>
        <w:t>CARDFRONT · GRILL DECISION RECORD</w:t>
      </w:r>
    </w:p>
    <w:p>
      <w:pPr>
        <w:spacing w:after="80"/>
      </w:pPr>
      <w:r>
        <w:rPr>
          <w:rFonts w:ascii="Calibri" w:hAnsi="Calibri" w:eastAsia="Microsoft YaHei"/>
          <w:b/>
          <w:color w:val="17202A"/>
          <w:sz w:val="48"/>
        </w:rPr>
        <w:t>Projectile Readability Grammar</w:t>
      </w:r>
    </w:p>
    <w:p>
      <w:pPr>
        <w:spacing w:after="280"/>
      </w:pPr>
      <w:r>
        <w:rPr>
          <w:rFonts w:ascii="Calibri" w:hAnsi="Calibri" w:eastAsia="Microsoft YaHei"/>
          <w:color w:val="5F6B76"/>
          <w:sz w:val="26"/>
        </w:rPr>
        <w:t>弹体类型 / 阵营双通道语法与 PG1 证据状态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17202A"/>
                <w:sz w:val="19"/>
              </w:rPr>
              <w:t>Record 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color w:val="17202A"/>
                <w:sz w:val="19"/>
              </w:rPr>
              <w:t>Value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5F6B76"/>
                <w:sz w:val="19"/>
              </w:rPr>
              <w:t>Date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7202A"/>
                <w:sz w:val="19"/>
              </w:rPr>
              <w:t>2026-08-19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color w:val="5F6B76"/>
                <w:sz w:val="19"/>
              </w:rPr>
              <w:t>Decision baseline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color w:val="17202A"/>
                <w:sz w:val="19"/>
              </w:rPr>
              <w:t>e6954de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5F6B76"/>
                <w:sz w:val="19"/>
              </w:rPr>
              <w:t>Implementation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7202A"/>
                <w:sz w:val="19"/>
              </w:rPr>
              <w:t>dc46d35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color w:val="5F6B76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color w:val="17202A"/>
                <w:sz w:val="19"/>
              </w:rPr>
              <w:t>faa152d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5F6B76"/>
                <w:sz w:val="19"/>
              </w:rPr>
              <w:t>Status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color w:val="17202A"/>
                <w:sz w:val="19"/>
              </w:rPr>
              <w:t>Decisions locked · PG1 evidence complete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Goal And Boundary</w:t>
      </w:r>
    </w:p>
    <w:p>
      <w:r>
        <w:rPr>
          <w:rFonts w:ascii="Calibri" w:hAnsi="Calibri" w:eastAsia="Microsoft YaHei"/>
          <w:color w:val="17202A"/>
          <w:sz w:val="22"/>
        </w:rPr>
        <w:t>D13 HQ Damage States was closed before this interview. The next P0 dynamic readability question was projectile identity: what type a projectile is, which faction owns it, and whether that information survives paused frames, bounces, overlap, low quality, and hidden trails.</w:t>
      </w:r>
    </w:p>
    <w:p>
      <w:r>
        <w:rPr>
          <w:rFonts w:ascii="Calibri" w:hAnsi="Calibri" w:eastAsia="Microsoft YaHei"/>
          <w:color w:val="17202A"/>
          <w:sz w:val="22"/>
        </w:rPr>
        <w:t>The Grill did not authorize new projectile mechanics, balance changes, hero or AI changes, formal GLBs, or complex impact/VFX production.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Problem Diagnosis</w:t>
      </w:r>
    </w:p>
    <w:p>
      <w:r>
        <w:rPr>
          <w:rFonts w:ascii="Calibri" w:hAnsi="Calibri" w:eastAsia="Microsoft YaHei"/>
          <w:color w:val="17202A"/>
          <w:sz w:val="22"/>
        </w:rPr>
        <w:t>The runtime already differentiated Standard, Siege, and Suppression through radius, trail width/length, and primitive shape. Color still carried too much type meaning: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blue/red needed to remain the faction identity channel;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cyan Suppression weakened AI/red ownership recognition;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orange Siege competed with the D3 warm-orange critical HQ core;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trails and motion disappear in paused frames and can be hidden by overlap.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Locked Decisions</w:t>
      </w:r>
    </w:p>
    <w:p>
      <w:pPr>
        <w:pStyle w:val="Heading2"/>
      </w:pPr>
      <w:r>
        <w:rPr>
          <w:rFonts w:ascii="Calibri" w:hAnsi="Calibri" w:eastAsia="Microsoft YaHei"/>
          <w:color w:val="1F4D78"/>
          <w:sz w:val="24"/>
        </w:rPr>
        <w:t>D1 — Dual-Channel Encoding (Option C)</w:t>
      </w:r>
    </w:p>
    <w:p>
      <w:pPr>
        <w:pStyle w:val="ListBullet"/>
      </w:pPr>
      <w:r>
        <w:rPr>
          <w:rFonts w:ascii="Calibri" w:hAnsi="Calibri" w:eastAsia="Microsoft YaHei"/>
          <w:b/>
          <w:color w:val="17202A"/>
          <w:sz w:val="22"/>
        </w:rPr>
        <w:t>Type Body / Silhouette</w:t>
      </w:r>
      <w:r>
        <w:rPr>
          <w:rFonts w:ascii="Calibri" w:hAnsi="Calibri" w:eastAsia="Microsoft YaHei"/>
          <w:color w:val="17202A"/>
          <w:sz w:val="22"/>
        </w:rPr>
        <w:t xml:space="preserve"> answers what the projectile is.</w:t>
      </w:r>
    </w:p>
    <w:p>
      <w:pPr>
        <w:pStyle w:val="ListBullet"/>
      </w:pPr>
      <w:r>
        <w:rPr>
          <w:rFonts w:ascii="Calibri" w:hAnsi="Calibri" w:eastAsia="Microsoft YaHei"/>
          <w:b/>
          <w:color w:val="17202A"/>
          <w:sz w:val="22"/>
        </w:rPr>
        <w:t>Faction Rim</w:t>
      </w:r>
      <w:r>
        <w:rPr>
          <w:rFonts w:ascii="Calibri" w:hAnsi="Calibri" w:eastAsia="Microsoft YaHei"/>
          <w:color w:val="17202A"/>
          <w:sz w:val="22"/>
        </w:rPr>
        <w:t xml:space="preserve"> stays player blue or AI red and is never replaced by type hue.</w:t>
      </w:r>
    </w:p>
    <w:p>
      <w:pPr>
        <w:pStyle w:val="ListBullet"/>
      </w:pPr>
      <w:r>
        <w:rPr>
          <w:rFonts w:ascii="Calibri" w:hAnsi="Calibri" w:eastAsia="Microsoft YaHei"/>
          <w:b/>
          <w:color w:val="17202A"/>
          <w:sz w:val="22"/>
        </w:rPr>
        <w:t>Faction Trail</w:t>
      </w:r>
      <w:r>
        <w:rPr>
          <w:rFonts w:ascii="Calibri" w:hAnsi="Calibri" w:eastAsia="Microsoft YaHei"/>
          <w:color w:val="17202A"/>
          <w:sz w:val="22"/>
        </w:rPr>
        <w:t xml:space="preserve"> stays faction-colored; length and width may reinforce type.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Type color is secondary and may not overpower faction identity.</w:t>
      </w:r>
    </w:p>
    <w:p>
      <w:r>
        <w:rPr>
          <w:rFonts w:ascii="Calibri" w:hAnsi="Calibri" w:eastAsia="Microsoft YaHei"/>
          <w:color w:val="17202A"/>
          <w:sz w:val="22"/>
        </w:rPr>
        <w:t xml:space="preserve">Implementation update: </w:t>
      </w:r>
      <w:r>
        <w:rPr>
          <w:rFonts w:ascii="Consolas" w:hAnsi="Consolas" w:eastAsia="Microsoft YaHei"/>
          <w:color w:val="1F4D78"/>
          <w:sz w:val="21"/>
        </w:rPr>
        <w:t>dc46d35</w:t>
      </w:r>
      <w:r>
        <w:rPr>
          <w:rFonts w:ascii="Calibri" w:hAnsi="Calibri" w:eastAsia="Microsoft YaHei"/>
          <w:color w:val="17202A"/>
          <w:sz w:val="22"/>
        </w:rPr>
        <w:t xml:space="preserve"> landed D1 using body silhouette/size for type and shape-matched outer rim plus trail for faction.</w:t>
      </w:r>
    </w:p>
    <w:p>
      <w:pPr>
        <w:pStyle w:val="Heading2"/>
      </w:pPr>
      <w:r>
        <w:rPr>
          <w:rFonts w:ascii="Calibri" w:hAnsi="Calibri" w:eastAsia="Microsoft YaHei"/>
          <w:color w:val="1F4D78"/>
          <w:sz w:val="24"/>
        </w:rPr>
        <w:t>D2 — Special Projectiles Must Read In One Frame (Option A)</w:t>
      </w:r>
    </w:p>
    <w:p>
      <w:r>
        <w:rPr>
          <w:rFonts w:ascii="Calibri" w:hAnsi="Calibri" w:eastAsia="Microsoft YaHei"/>
          <w:color w:val="17202A"/>
          <w:sz w:val="22"/>
        </w:rPr>
        <w:t>At the default 112% camera, hiding trails and pausing on an arbitrary frame must still distinguish all three types: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Standard: simplest round baseline.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Siege: visibly larger, heavy, non-round structure.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Suppression: flat disc/ring or layered-disc silhouette.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Motion, trail, and color reinforce identity but cannot be the only channel.</w:t>
      </w:r>
    </w:p>
    <w:p>
      <w:pPr>
        <w:pStyle w:val="Heading2"/>
      </w:pPr>
      <w:r>
        <w:rPr>
          <w:rFonts w:ascii="Calibri" w:hAnsi="Calibri" w:eastAsia="Microsoft YaHei"/>
          <w:color w:val="1F4D78"/>
          <w:sz w:val="24"/>
        </w:rPr>
        <w:t>D3 — Primitive Validation Before Formal GLB (Option A)</w:t>
      </w:r>
    </w:p>
    <w:p>
      <w:r>
        <w:rPr>
          <w:rFonts w:ascii="Calibri" w:hAnsi="Calibri" w:eastAsia="Microsoft YaHei"/>
          <w:color w:val="17202A"/>
          <w:sz w:val="22"/>
        </w:rPr>
        <w:t>Use Godot primitives to lock screen-space ratios before committing formal asset production. Primitive work proves information structure; GLB work may improve quality only after the structure survives the camera and density gates.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Rejected Alternatives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02A"/>
                <w:sz w:val="20"/>
              </w:rPr>
              <w:t>Alternative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202A"/>
                <w:sz w:val="20"/>
              </w:rPr>
              <w:t>Decision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2A"/>
                <w:sz w:val="19"/>
              </w:rPr>
              <w:t>Faction-only grammar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2A"/>
                <w:sz w:val="19"/>
              </w:rPr>
              <w:t>Safe ownership but insufficient special-type identity.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2A"/>
                <w:sz w:val="19"/>
              </w:rPr>
              <w:t>Type-first full-body recolor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2A"/>
                <w:sz w:val="19"/>
              </w:rPr>
              <w:t>Rejected; causes AI Suppression ownership loss and orange semantic collision.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2A"/>
                <w:sz w:val="19"/>
              </w:rPr>
              <w:t>Immediate formal GLB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2A"/>
                <w:sz w:val="19"/>
              </w:rPr>
              <w:t>Deferred until screen-space structure is validated.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2A"/>
                <w:sz w:val="19"/>
              </w:rPr>
              <w:t>Standard primitive plus immediate special GLBs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2A"/>
                <w:sz w:val="19"/>
              </w:rPr>
              <w:t>May be reconsidered only after PG1 evidence.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PG1 Evidence Contract And Result</w:t>
      </w:r>
    </w:p>
    <w:p>
      <w:r>
        <w:rPr>
          <w:rFonts w:ascii="Calibri" w:hAnsi="Calibri" w:eastAsia="Microsoft YaHei"/>
          <w:color w:val="17202A"/>
          <w:sz w:val="22"/>
        </w:rPr>
        <w:t>Required configurations: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1120x720 @ 100%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1120x720 @ 112%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760x540 @ 112%</w:t>
      </w:r>
    </w:p>
    <w:p>
      <w:r>
        <w:rPr>
          <w:rFonts w:ascii="Calibri" w:hAnsi="Calibri" w:eastAsia="Microsoft YaHei"/>
          <w:color w:val="17202A"/>
          <w:sz w:val="22"/>
        </w:rPr>
        <w:t>Required scenarios per configuration:</w:t>
      </w:r>
    </w:p>
    <w:p>
      <w:pPr>
        <w:pStyle w:val="ListNumber"/>
      </w:pPr>
      <w:r>
        <w:rPr>
          <w:rFonts w:ascii="Calibri" w:hAnsi="Calibri" w:eastAsia="Microsoft YaHei"/>
          <w:color w:val="17202A"/>
          <w:sz w:val="22"/>
        </w:rPr>
        <w:t>Trail OFF: one frozen projectile for every faction/type pair.</w:t>
      </w:r>
    </w:p>
    <w:p>
      <w:pPr>
        <w:pStyle w:val="ListNumber"/>
      </w:pPr>
      <w:r>
        <w:rPr>
          <w:rFonts w:ascii="Calibri" w:hAnsi="Calibri" w:eastAsia="Microsoft YaHei"/>
          <w:color w:val="17202A"/>
          <w:sz w:val="22"/>
        </w:rPr>
        <w:t>Trail ON: the same six projectiles with faction trails.</w:t>
      </w:r>
    </w:p>
    <w:p>
      <w:pPr>
        <w:pStyle w:val="ListNumber"/>
      </w:pPr>
      <w:r>
        <w:rPr>
          <w:rFonts w:ascii="Calibri" w:hAnsi="Calibri" w:eastAsia="Microsoft YaHei"/>
          <w:color w:val="17202A"/>
          <w:sz w:val="22"/>
        </w:rPr>
        <w:t>Volley: eighteen real pooled projectiles, three of each faction/type pair.</w:t>
      </w:r>
    </w:p>
    <w:p>
      <w:r>
        <w:rPr>
          <w:rFonts w:ascii="Calibri" w:hAnsi="Calibri" w:eastAsia="Microsoft YaHei"/>
          <w:color w:val="17202A"/>
          <w:sz w:val="22"/>
        </w:rPr>
        <w:t xml:space="preserve">Evidence result at </w:t>
      </w:r>
      <w:r>
        <w:rPr>
          <w:rFonts w:ascii="Consolas" w:hAnsi="Consolas" w:eastAsia="Microsoft YaHei"/>
          <w:color w:val="1F4D78"/>
          <w:sz w:val="21"/>
        </w:rPr>
        <w:t>faa152d</w:t>
      </w:r>
      <w:r>
        <w:rPr>
          <w:rFonts w:ascii="Calibri" w:hAnsi="Calibri" w:eastAsia="Microsoft YaHei"/>
          <w:color w:val="17202A"/>
          <w:sz w:val="22"/>
        </w:rPr>
        <w:t>: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Arena: 121 PASS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Battlefield scale: 57 PASS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Mode smoke: 38 PASS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Capture manifests: 3/3 PASS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Required PNGs: 9/9 generated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AI full-resolution visual review: PASS for the tested grammar</w:t>
      </w:r>
    </w:p>
    <w:p>
      <w:r>
        <w:rPr>
          <w:rFonts w:ascii="Calibri" w:hAnsi="Calibri" w:eastAsia="Microsoft YaHei"/>
          <w:color w:val="17202A"/>
          <w:sz w:val="22"/>
        </w:rPr>
        <w:t>The product-owner projectile-only screenshot GO was not recorded in the checkpoint. Implementation and evidence completion must not be rewritten as a separate human acceptance decision.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Current Presentation Contract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ProjectileRoot / TypeBody</w:t>
      </w:r>
      <w:r>
        <w:rPr>
          <w:rFonts w:ascii="Calibri" w:hAnsi="Calibri" w:eastAsia="Microsoft YaHei"/>
          <w:color w:val="17202A"/>
          <w:sz w:val="22"/>
        </w:rPr>
        <w:t>: projectile type.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FactionRim</w:t>
      </w:r>
      <w:r>
        <w:rPr>
          <w:rFonts w:ascii="Calibri" w:hAnsi="Calibri" w:eastAsia="Microsoft YaHei"/>
          <w:color w:val="17202A"/>
          <w:sz w:val="22"/>
        </w:rPr>
        <w:t>: persistent faction channel.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1"/>
        </w:rPr>
        <w:t>FactionTrail</w:t>
      </w:r>
      <w:r>
        <w:rPr>
          <w:rFonts w:ascii="Calibri" w:hAnsi="Calibri" w:eastAsia="Microsoft YaHei"/>
          <w:color w:val="17202A"/>
          <w:sz w:val="22"/>
        </w:rPr>
        <w:t>: faction channel; geometry may reinforce type.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Standard remains round and visually quiet.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Siege uses a warm-gray heavy body, not the D3 critical orange semantic.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Suppression uses a cool-gray flat body, not a full cyan faction-confusing wash.</w:t>
      </w:r>
    </w:p>
    <w:p>
      <w:pPr>
        <w:pStyle w:val="ListBullet"/>
      </w:pPr>
      <w:r>
        <w:rPr>
          <w:rFonts w:ascii="Calibri" w:hAnsi="Calibri" w:eastAsia="Microsoft YaHei"/>
          <w:color w:val="17202A"/>
          <w:sz w:val="22"/>
        </w:rPr>
        <w:t>Simulation, collision, trajectory, AI, damage, and balance remain unchanged.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Deferred Follow-Up</w:t>
      </w:r>
    </w:p>
    <w:p>
      <w:r>
        <w:rPr>
          <w:rFonts w:ascii="Calibri" w:hAnsi="Calibri" w:eastAsia="Microsoft YaHei"/>
          <w:color w:val="17202A"/>
          <w:sz w:val="22"/>
        </w:rPr>
        <w:t>Impact feedback remains a separate Grill gate. Before formal projectile GLBs or complex hit VFX, decide whether impact frames preserve dual encoding or temporarily prioritize mechanism meaning.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>
      <w:rPr>
        <w:rFonts w:ascii="Calibri" w:hAnsi="Calibri" w:eastAsia="Microsoft YaHei"/>
        <w:color w:val="5F6B76"/>
        <w:sz w:val="17"/>
      </w:rPr>
      <w:t>Cardfront · Projectile Readability Decisions</w:t>
    </w:r>
    <w:r>
      <w:rPr>
        <w:rFonts w:ascii="Calibri" w:hAnsi="Calibri" w:eastAsia="Microsoft YaHei"/>
        <w:color w:val="5F6B76"/>
        <w:sz w:val="17"/>
      </w:rPr>
      <w:tab/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