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Project Report: Marine – Broker Portal for Flood Insurance</w:t>
      </w:r>
    </w:p>
    <w:p>
      <w:pPr>
        <w:pStyle w:val="style2"/>
        <w:rPr/>
      </w:pPr>
      <w:r>
        <w:t>1. Introduction</w:t>
      </w:r>
    </w:p>
    <w:p>
      <w:pPr>
        <w:pStyle w:val="style0"/>
        <w:rPr/>
      </w:pPr>
      <w:r>
        <w:t>Marine is a web-based broker portal designed to simplify and streamline the process of issuing and managing flood insurance quotes. The application supports both guest users and registered brokers, offering a suite of features including dynamic dashboards, quote generation, risk calculation, and secure authentication. The system is designed with a modern architecture using Angular 19 on the frontend and ASP.NET Web API on the backend.</w:t>
      </w:r>
    </w:p>
    <w:p>
      <w:pPr>
        <w:pStyle w:val="style2"/>
        <w:rPr/>
      </w:pPr>
      <w:r>
        <w:t>2. Objectives</w:t>
      </w:r>
    </w:p>
    <w:p>
      <w:pPr>
        <w:pStyle w:val="style0"/>
        <w:rPr/>
      </w:pPr>
      <w:r>
        <w:t>- Provide an intuitive platform for brokers to manage flood insurance quotes.</w:t>
      </w:r>
      <w:r>
        <w:br/>
      </w:r>
      <w:r>
        <w:t>- Allow guest users limited access to informative sections.</w:t>
      </w:r>
      <w:r>
        <w:br/>
      </w:r>
      <w:r>
        <w:t>- Calculate risk scores and premiums based on property data.</w:t>
      </w:r>
      <w:r>
        <w:br/>
      </w:r>
      <w:r>
        <w:t>- Enable submission, viewing, and management of insurance quotes.</w:t>
      </w:r>
      <w:r>
        <w:br/>
      </w:r>
      <w:r>
        <w:t>- Offer analytical insights via a broker dashboard.</w:t>
      </w:r>
    </w:p>
    <w:p>
      <w:pPr>
        <w:pStyle w:val="style2"/>
        <w:rPr/>
      </w:pPr>
      <w:r>
        <w:t>3. Core Features</w:t>
      </w:r>
    </w:p>
    <w:p>
      <w:pPr>
        <w:pStyle w:val="style0"/>
        <w:rPr/>
      </w:pPr>
      <w:r>
        <w:br/>
      </w:r>
      <w:r>
        <w:t>- Guest Access to Home, About Us, and Contact Us pages</w:t>
      </w:r>
      <w:r>
        <w:br/>
      </w:r>
      <w:r>
        <w:t>- Broker Registration and Secure Login using SHA-256 hashed passwords</w:t>
      </w:r>
      <w:r>
        <w:br/>
      </w:r>
      <w:r>
        <w:t>- Multi-step Quote Form with image-based selection and file uploads</w:t>
      </w:r>
      <w:r>
        <w:br/>
      </w:r>
      <w:r>
        <w:t>- Risk Calculator with animated results and safety tips</w:t>
      </w:r>
      <w:r>
        <w:br/>
      </w:r>
      <w:r>
        <w:t>- Dashboard with analytics, charts, and recent quote statistics</w:t>
      </w:r>
      <w:r>
        <w:br/>
      </w:r>
      <w:r>
        <w:t>- Quote List with search, sort, filter, edit, soft delete, and bind submission</w:t>
      </w:r>
      <w:r>
        <w:br/>
      </w:r>
      <w:r>
        <w:t>- Contact Us page with form submission via EmailJS and embedded Google Maps</w:t>
      </w:r>
      <w:r>
        <w:br/>
      </w:r>
      <w:r>
        <w:t>- About Us section with company story, team, and advantages</w:t>
      </w:r>
      <w:r>
        <w:br/>
      </w:r>
      <w:r>
        <w:t>- PDF generation for quotes using pdf.js</w:t>
      </w:r>
      <w:r>
        <w:br/>
      </w:r>
    </w:p>
    <w:p>
      <w:pPr>
        <w:pStyle w:val="style2"/>
        <w:rPr/>
      </w:pPr>
      <w:r>
        <w:t>4. Technology Stack</w:t>
      </w:r>
    </w:p>
    <w:p>
      <w:pPr>
        <w:pStyle w:val="style0"/>
        <w:rPr/>
      </w:pPr>
      <w:r>
        <w:br/>
      </w:r>
      <w:r>
        <w:t>- Frontend: Angular 19, HTML, CSS, TypeScript</w:t>
      </w:r>
      <w:r>
        <w:br/>
      </w:r>
      <w:r>
        <w:t>- Backend: ASP.NET Web API</w:t>
      </w:r>
      <w:r>
        <w:br/>
      </w:r>
      <w:r>
        <w:t>- Database: SQL Server using Entity Framework (ORM)</w:t>
      </w:r>
      <w:r>
        <w:br/>
      </w:r>
      <w:r>
        <w:t>- Security: SHA-256 for password hashing</w:t>
      </w:r>
      <w:r>
        <w:br/>
      </w:r>
      <w:r>
        <w:t>- Utilities: EmailJS (emailing), pdf.js (PDF rendering), SweetAlerts (alerts)</w:t>
      </w:r>
      <w:r>
        <w:br/>
      </w:r>
    </w:p>
    <w:p>
      <w:pPr>
        <w:pStyle w:val="style2"/>
        <w:rPr/>
      </w:pPr>
      <w:r>
        <w:t>5. Workflow Overview</w:t>
      </w:r>
    </w:p>
    <w:p>
      <w:pPr>
        <w:pStyle w:val="style0"/>
        <w:rPr/>
      </w:pPr>
      <w:r>
        <w:br/>
      </w:r>
      <w:r>
        <w:t>1. Guest User accesses public pages</w:t>
      </w:r>
      <w:r>
        <w:br/>
      </w:r>
      <w:r>
        <w:t>2. Broker signs up or logs in using credentials</w:t>
      </w:r>
      <w:r>
        <w:br/>
      </w:r>
      <w:r>
        <w:t>3. On successful login, redirected to dashboard</w:t>
      </w:r>
      <w:r>
        <w:br/>
      </w:r>
      <w:r>
        <w:t>4. Broker navigates via sidebar to create or manage quotes</w:t>
      </w:r>
      <w:r>
        <w:br/>
      </w:r>
      <w:r>
        <w:t>5. Quote Form captures user inputs, calculates premium via API, and sends email upon submission</w:t>
      </w:r>
      <w:r>
        <w:br/>
      </w:r>
      <w:r>
        <w:t>6. Quote List allows viewing and managing all submitted quotes</w:t>
      </w:r>
      <w:r>
        <w:br/>
      </w:r>
      <w:r>
        <w:t>7. Risk Calculator displays property flood risk category</w:t>
      </w:r>
      <w:r>
        <w:br/>
      </w:r>
      <w:r>
        <w:t>8. Contact Us handles inquiries and broker support</w:t>
      </w:r>
      <w:r>
        <w:br/>
      </w:r>
    </w:p>
    <w:p>
      <w:pPr>
        <w:pStyle w:val="style2"/>
        <w:rPr/>
      </w:pPr>
      <w:r>
        <w:t>6. Security Considerations</w:t>
      </w:r>
    </w:p>
    <w:p>
      <w:pPr>
        <w:pStyle w:val="style0"/>
        <w:rPr/>
      </w:pPr>
      <w:r>
        <w:t>Passwords are secured using SHA-256 hashing to prevent plain-text storage. The application enforces role-based access control, allowing only authenticated brokers to access sensitive features such as the dashboard, quote submission, and client management.</w:t>
      </w:r>
    </w:p>
    <w:p>
      <w:pPr>
        <w:pStyle w:val="style2"/>
        <w:rPr/>
      </w:pPr>
      <w:r>
        <w:t>7. Conclusion</w:t>
      </w:r>
    </w:p>
    <w:p>
      <w:pPr>
        <w:pStyle w:val="style0"/>
        <w:rPr/>
      </w:pPr>
      <w:r>
        <w:t>Marine offers a powerful yet user-friendly platform for brokers to manage flood insurance operations efficiently. With a modern tech stack, responsive UI, and robust backend services, it bridges the gap between clients and brokers in the domain of flood insurance.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743200" cy="85725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85725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743200" cy="754144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754144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2240" w:h="15840" w:orient="portrait"/>
      <w:pgMar w:top="1440" w:right="1800" w:bottom="1440" w:left="1800" w:header="720" w:footer="720" w:gutter="0"/>
      <w:pgBorders w:zOrder="front" w:display="allPages"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5765" cy="5603240"/>
          <wp:effectExtent l="0" t="0" r="0" b="0"/>
          <wp:wrapNone/>
          <wp:docPr id="4098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485765" cy="560324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5765" cy="5603240"/>
          <wp:effectExtent l="0" t="0" r="0" b="0"/>
          <wp:wrapNone/>
          <wp:docPr id="4099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485765" cy="560324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5765" cy="5603240"/>
          <wp:effectExtent l="0" t="0" r="0" b="0"/>
          <wp:wrapNone/>
          <wp:docPr id="4100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485765" cy="560324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1248647-5c3f-48fb-9e5a-68acce2eb36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43a2948-4927-4c11-8058-e98369f0bd26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35ee27f4-596c-412d-9fce-87782b4aafec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cf95fa68-e9c6-4400-91ec-d9e92fede8a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a336683-0183-4551-916f-351867c9cee0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a75d7bc0-9312-4361-b21b-8482dc650449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3cc8d1c-1e99-4588-83e9-0d53c85610a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88721c9a-6046-409f-8be4-e3dc3e158cf7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c9538e9c-92c6-493e-b6b5-c5d65f59c319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e811e7c6-1465-499b-b42f-32714c68da6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5597dac3-1dc4-4f69-94dd-e768e44c6ccd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b482ce8d-5f46-4058-b572-d64b404c3e0a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e6a98430-84de-4f12-ac0d-6a868a00ab7f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97ab8aec-7ea0-47c1-b77f-e8b22c5f6992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412</Words>
  <Pages>2</Pages>
  <Characters>2323</Characters>
  <Application>WPS Office</Application>
  <DocSecurity>0</DocSecurity>
  <Paragraphs>27</Paragraphs>
  <ScaleCrop>false</ScaleCrop>
  <LinksUpToDate>false</LinksUpToDate>
  <CharactersWithSpaces>2727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2025-04-25T08:10:34Z</dcterms:created>
  <dc:creator>python-docx</dc:creator>
  <dc:description>generated by python-docx</dc:description>
  <lastModifiedBy>SM-A325F</lastModifiedBy>
  <dcterms:modified xsi:type="dcterms:W3CDTF">2025-04-25T08:10:34Z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0ad6ddb838a059853d46a5cee91edb656cc2217a85ce1c1604a19ba82db6c7e3</vt:lpwstr>
  </property>
  <property fmtid="{D5CDD505-2E9C-101B-9397-08002B2CF9AE}" pid="3" name="ICV">
    <vt:lpwstr>069c2e4ae6794898a283f75f743fe2d5</vt:lpwstr>
  </property>
</Properties>
</file>