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SimHei" w:hAnsi="SimHei" w:eastAsia="SimHei"/>
          <w:b/>
          <w:color w:val="000000"/>
          <w:sz w:val="44"/>
        </w:rPr>
        <w:t>课堂行为检测系统需求规格说明书</w:t>
      </w:r>
    </w:p>
    <w:p>
      <w:pPr>
        <w:jc w:val="center"/>
      </w:pPr>
      <w:r>
        <w:rPr>
          <w:rFonts w:ascii="SimSun" w:hAnsi="SimSun" w:eastAsia="SimSun"/>
          <w:b w:val="0"/>
          <w:color w:val="000000"/>
          <w:sz w:val="24"/>
        </w:rPr>
        <w:t>科创实战项目课程提交材料</w:t>
      </w:r>
    </w:p>
    <w:p/>
    <w:p/>
    <w:p/>
    <w:p/>
    <w:p/>
    <w:tbl>
      <w:tblPr>
        <w:tblStyle w:val="TableGrid"/>
        <w:tblW w:type="dxa" w:w="873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6930"/>
      </w:tblGrid>
      <w:tr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69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项目名称</w:t>
            </w:r>
          </w:p>
        </w:tc>
        <w:tc>
          <w:tcPr>
            <w:tcW w:type="dxa" w:w="69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课堂行为检测系统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文档版本</w:t>
            </w:r>
          </w:p>
        </w:tc>
        <w:tc>
          <w:tcPr>
            <w:tcW w:type="dxa" w:w="69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技术路线</w:t>
            </w:r>
          </w:p>
        </w:tc>
        <w:tc>
          <w:tcPr>
            <w:tcW w:type="dxa" w:w="69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Flask 后端 + Web 可视化控制台 + YOLO 双模型检测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生成时间</w:t>
            </w:r>
          </w:p>
        </w:tc>
        <w:tc>
          <w:tcPr>
            <w:tcW w:type="dxa" w:w="69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2026-05-26T00:48:16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验收依据</w:t>
            </w:r>
          </w:p>
        </w:tc>
        <w:tc>
          <w:tcPr>
            <w:tcW w:type="dxa" w:w="69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scripts/verify_all.py 与 docs/_artifacts/verify-all-summary.json</w:t>
            </w:r>
          </w:p>
        </w:tc>
      </w:tr>
    </w:tbl>
    <w:p/>
    <w:p>
      <w:r>
        <w:br w:type="page"/>
      </w:r>
    </w:p>
    <w:p>
      <w:pPr>
        <w:pStyle w:val="Heading1"/>
      </w:pPr>
      <w:r>
        <w:t>目录</w:t>
      </w:r>
    </w:p>
    <w:p>
      <w:pPr>
        <w:ind w:firstLine="0"/>
      </w:pPr>
      <w:r>
        <w:t>一、项目背景与建设目标</w:t>
      </w:r>
    </w:p>
    <w:p>
      <w:pPr>
        <w:ind w:firstLine="0"/>
      </w:pPr>
      <w:r>
        <w:t>二、系统总体需求</w:t>
      </w:r>
    </w:p>
    <w:p>
      <w:pPr>
        <w:ind w:firstLine="0"/>
      </w:pPr>
      <w:r>
        <w:t>三、功能性需求</w:t>
      </w:r>
    </w:p>
    <w:p>
      <w:pPr>
        <w:ind w:firstLine="0"/>
      </w:pPr>
      <w:r>
        <w:t>四、非功能性需求</w:t>
      </w:r>
    </w:p>
    <w:p>
      <w:pPr>
        <w:ind w:firstLine="0"/>
      </w:pPr>
      <w:r>
        <w:t>五、数据与接口需求</w:t>
      </w:r>
    </w:p>
    <w:p>
      <w:pPr>
        <w:ind w:firstLine="0"/>
      </w:pPr>
      <w:r>
        <w:t>六、验收标准</w:t>
      </w:r>
    </w:p>
    <w:p>
      <w:r>
        <w:br w:type="page"/>
      </w:r>
    </w:p>
    <w:p>
      <w:pPr>
        <w:pStyle w:val="Heading1"/>
      </w:pPr>
      <w:r>
        <w:t>一、项目背景与建设目标</w:t>
      </w:r>
    </w:p>
    <w:p>
      <w:pPr>
        <w:spacing w:line="360" w:lineRule="auto"/>
        <w:ind w:firstLine="420"/>
      </w:pPr>
      <w:r>
        <w:t>随着课堂信息化管理和教学质量评价需求的提升，传统人工巡查方式在实时性、客观性和可追溯性方面存在不足。本项目围绕课堂教学场景，设计并实现一套课堂行为检测系统，用于对课堂图片、批量图片、视频片段和实时摄像头画面进行自动识别、统计分析与报告输出。</w:t>
      </w:r>
    </w:p>
    <w:p>
      <w:pPr>
        <w:spacing w:line="360" w:lineRule="auto"/>
        <w:ind w:firstLine="420"/>
      </w:pPr>
      <w:r>
        <w:t>系统建设目标包括：完成学生课堂行为检测、人头目标检测、检测结果可视化、历史任务管理、报告导出和随机点名辅助功能；同时保证项目能够在 Windows 本地环境下稳定启动、可复现验证、可按课程要求拆分提交。</w:t>
      </w:r>
    </w:p>
    <w:p>
      <w:pPr>
        <w:pStyle w:val="Heading1"/>
      </w:pPr>
      <w:r>
        <w:t>二、系统总体需求</w:t>
      </w:r>
    </w:p>
    <w:p>
      <w:pPr>
        <w:spacing w:line="360" w:lineRule="auto"/>
        <w:ind w:firstLine="420"/>
      </w:pPr>
      <w:r>
        <w:t>系统采用 Flask 后端、Web 前端控制台和 YOLO 模型推理模块组成。后端负责模型加载、文件上传、检测任务调度、数据统计和报告生成；前端负责素材导入、检测模式切换、结果预览、图表展示、历史筛选和交互提示；模型层分别承担课堂行为识别与人头目标检测。</w:t>
      </w:r>
    </w:p>
    <w:tbl>
      <w:tblPr>
        <w:tblStyle w:val="TableGrid"/>
        <w:tblW w:type="dxa" w:w="8730"/>
        <w:jc w:val="center"/>
        <w:tblLayout w:type="fixed"/>
        <w:tblLook w:firstColumn="1" w:firstRow="1" w:lastColumn="0" w:lastRow="0" w:noHBand="0" w:noVBand="1" w:val="04A0"/>
      </w:tblPr>
      <w:tblGrid>
        <w:gridCol w:w="1600"/>
        <w:gridCol w:w="3300"/>
        <w:gridCol w:w="3830"/>
      </w:tblGrid>
      <w:tr>
        <w:tc>
          <w:tcPr>
            <w:tcW w:type="dxa" w:w="16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角色</w:t>
            </w:r>
          </w:p>
        </w:tc>
        <w:tc>
          <w:tcPr>
            <w:tcW w:type="dxa" w:w="33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主要目标</w:t>
            </w:r>
          </w:p>
        </w:tc>
        <w:tc>
          <w:tcPr>
            <w:tcW w:type="dxa" w:w="38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典型操作</w:t>
            </w:r>
          </w:p>
        </w:tc>
      </w:tr>
      <w:tr>
        <w:tc>
          <w:tcPr>
            <w:tcW w:type="dxa" w:w="16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管理员/演示者</w:t>
            </w:r>
          </w:p>
        </w:tc>
        <w:tc>
          <w:tcPr>
            <w:tcW w:type="dxa" w:w="33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完成模型加载、检测演示、报告导出</w:t>
            </w:r>
          </w:p>
        </w:tc>
        <w:tc>
          <w:tcPr>
            <w:tcW w:type="dxa" w:w="38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登录、选择模型、上传素材、查看报告</w:t>
            </w:r>
          </w:p>
        </w:tc>
      </w:tr>
      <w:tr>
        <w:tc>
          <w:tcPr>
            <w:tcW w:type="dxa" w:w="16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教师/评审者</w:t>
            </w:r>
          </w:p>
        </w:tc>
        <w:tc>
          <w:tcPr>
            <w:tcW w:type="dxa" w:w="33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查看课堂状态与行为统计</w:t>
            </w:r>
          </w:p>
        </w:tc>
        <w:tc>
          <w:tcPr>
            <w:tcW w:type="dxa" w:w="38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查看检测框、行为分布、历史记录</w:t>
            </w:r>
          </w:p>
        </w:tc>
      </w:tr>
      <w:tr>
        <w:tc>
          <w:tcPr>
            <w:tcW w:type="dxa" w:w="16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开发维护者</w:t>
            </w:r>
          </w:p>
        </w:tc>
        <w:tc>
          <w:tcPr>
            <w:tcW w:type="dxa" w:w="33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维护模型、接口和验收脚本</w:t>
            </w:r>
          </w:p>
        </w:tc>
        <w:tc>
          <w:tcPr>
            <w:tcW w:type="dxa" w:w="38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运行 verify_all、查看审计产物、打包归档</w:t>
            </w:r>
          </w:p>
        </w:tc>
      </w:tr>
    </w:tbl>
    <w:p/>
    <w:p>
      <w:pPr>
        <w:pStyle w:val="Heading2"/>
      </w:pPr>
      <w:r>
        <w:t>2.1 系统边界</w:t>
      </w:r>
    </w:p>
    <w:p>
      <w:pPr>
        <w:spacing w:line="360" w:lineRule="auto"/>
        <w:ind w:firstLine="420"/>
      </w:pPr>
      <w:r>
        <w:t>系统主要解决本地课堂图像与视频素材的检测、展示和报告输出问题，不承担云端账号体系、跨校区数据同步和大规模数据集管理任务。课程提交版本强调可运行、可演示和可验证，所有核心功能均围绕本机模型推理与本地 Web 控制台展开。</w:t>
      </w:r>
    </w:p>
    <w:p>
      <w:pPr>
        <w:pStyle w:val="Heading2"/>
      </w:pPr>
      <w:r>
        <w:t>2.2 技术组成</w:t>
      </w:r>
    </w:p>
    <w:tbl>
      <w:tblPr>
        <w:tblStyle w:val="TableGrid"/>
        <w:tblW w:type="dxa" w:w="873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2800"/>
        <w:gridCol w:w="4730"/>
      </w:tblGrid>
      <w:tr>
        <w:tc>
          <w:tcPr>
            <w:tcW w:type="dxa" w:w="1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层次</w:t>
            </w:r>
          </w:p>
        </w:tc>
        <w:tc>
          <w:tcPr>
            <w:tcW w:type="dxa" w:w="2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组成</w:t>
            </w:r>
          </w:p>
        </w:tc>
        <w:tc>
          <w:tcPr>
            <w:tcW w:type="dxa" w:w="47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职责</w:t>
            </w:r>
          </w:p>
        </w:tc>
      </w:tr>
      <w:tr>
        <w:tc>
          <w:tcPr>
            <w:tcW w:type="dxa" w:w="1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表现层</w:t>
            </w:r>
          </w:p>
        </w:tc>
        <w:tc>
          <w:tcPr>
            <w:tcW w:type="dxa" w:w="2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templates/app_shell.html、static/app、static/css</w:t>
            </w:r>
          </w:p>
        </w:tc>
        <w:tc>
          <w:tcPr>
            <w:tcW w:type="dxa" w:w="47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提供模式切换、文件上传、结果预览、图表和历史记录</w:t>
            </w:r>
          </w:p>
        </w:tc>
      </w:tr>
      <w:tr>
        <w:tc>
          <w:tcPr>
            <w:tcW w:type="dxa" w:w="1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接口层</w:t>
            </w:r>
          </w:p>
        </w:tc>
        <w:tc>
          <w:tcPr>
            <w:tcW w:type="dxa" w:w="2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classroom_app/routes</w:t>
            </w:r>
          </w:p>
        </w:tc>
        <w:tc>
          <w:tcPr>
            <w:tcW w:type="dxa" w:w="47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接收前端请求，完成参数校验、认证校验和统一 JSON 返回</w:t>
            </w:r>
          </w:p>
        </w:tc>
      </w:tr>
      <w:tr>
        <w:tc>
          <w:tcPr>
            <w:tcW w:type="dxa" w:w="1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业务层</w:t>
            </w:r>
          </w:p>
        </w:tc>
        <w:tc>
          <w:tcPr>
            <w:tcW w:type="dxa" w:w="2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classroom_app/services</w:t>
            </w:r>
          </w:p>
        </w:tc>
        <w:tc>
          <w:tcPr>
            <w:tcW w:type="dxa" w:w="47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封装检测、任务、模型、报告和摄像头会话等业务逻辑</w:t>
            </w:r>
          </w:p>
        </w:tc>
      </w:tr>
      <w:tr>
        <w:tc>
          <w:tcPr>
            <w:tcW w:type="dxa" w:w="1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模型层</w:t>
            </w:r>
          </w:p>
        </w:tc>
        <w:tc>
          <w:tcPr>
            <w:tcW w:type="dxa" w:w="2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models/*.pt、utils/detector.py</w:t>
            </w:r>
          </w:p>
        </w:tc>
        <w:tc>
          <w:tcPr>
            <w:tcW w:type="dxa" w:w="47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加载 YOLO 模型并输出检测框、类别、置信度和统计结果</w:t>
            </w:r>
          </w:p>
        </w:tc>
      </w:tr>
      <w:tr>
        <w:tc>
          <w:tcPr>
            <w:tcW w:type="dxa" w:w="1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验证层</w:t>
            </w:r>
          </w:p>
        </w:tc>
        <w:tc>
          <w:tcPr>
            <w:tcW w:type="dxa" w:w="2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scripts/*.py、static/app/**/*.test.js</w:t>
            </w:r>
          </w:p>
        </w:tc>
        <w:tc>
          <w:tcPr>
            <w:tcW w:type="dxa" w:w="47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提供健康检查、回归烟测、浏览器审计和归档校验</w:t>
            </w:r>
          </w:p>
        </w:tc>
      </w:tr>
    </w:tbl>
    <w:p/>
    <w:p>
      <w:pPr>
        <w:pStyle w:val="Heading1"/>
      </w:pPr>
      <w:r>
        <w:t>三、功能性需求</w:t>
      </w:r>
    </w:p>
    <w:p>
      <w:pPr>
        <w:pStyle w:val="Heading2"/>
      </w:pPr>
      <w:r>
        <w:t>3.1 检测任务需求</w:t>
      </w:r>
    </w:p>
    <w:p>
      <w:pPr>
        <w:pStyle w:val="ListBullet"/>
        <w:spacing w:line="360" w:lineRule="auto"/>
        <w:ind w:firstLine="0"/>
      </w:pPr>
      <w:r>
        <w:t>单图检测：上传课堂图片，返回标注图、行为统计、检测明细和 HTML 报告。</w:t>
      </w:r>
    </w:p>
    <w:p>
      <w:pPr>
        <w:pStyle w:val="ListBullet"/>
        <w:spacing w:line="360" w:lineRule="auto"/>
        <w:ind w:firstLine="0"/>
      </w:pPr>
      <w:r>
        <w:t>批量检测：一次上传多张图片，支持结果切换、批量统计和 ZIP 报告导出。</w:t>
      </w:r>
    </w:p>
    <w:p>
      <w:pPr>
        <w:pStyle w:val="ListBullet"/>
        <w:spacing w:line="360" w:lineRule="auto"/>
        <w:ind w:firstLine="0"/>
      </w:pPr>
      <w:r>
        <w:t>视频检测：上传课堂视频，支持进度轮询、处理中止、完成态报告和历史追踪指标。</w:t>
      </w:r>
    </w:p>
    <w:p>
      <w:pPr>
        <w:pStyle w:val="ListBullet"/>
        <w:spacing w:line="360" w:lineRule="auto"/>
        <w:ind w:firstLine="0"/>
      </w:pPr>
      <w:r>
        <w:t>实时摄像头：支持摄像头诊断、启动、停止、实时帧检测和任务记录。</w:t>
      </w:r>
    </w:p>
    <w:p>
      <w:pPr>
        <w:pStyle w:val="ListBullet"/>
        <w:spacing w:line="360" w:lineRule="auto"/>
        <w:ind w:firstLine="0"/>
      </w:pPr>
      <w:r>
        <w:t>模型管理：支持学生行为模型与人头模型扫描、查看、切换和完整性校验。</w:t>
      </w:r>
    </w:p>
    <w:p>
      <w:pPr>
        <w:pStyle w:val="ListBullet"/>
        <w:spacing w:line="360" w:lineRule="auto"/>
        <w:ind w:firstLine="0"/>
      </w:pPr>
      <w:r>
        <w:t>随机点名：基于检测到的人头目标随机选择对象，展示命中区域、置信度和来源。</w:t>
      </w:r>
    </w:p>
    <w:tbl>
      <w:tblPr>
        <w:tblStyle w:val="TableGrid"/>
        <w:tblW w:type="dxa" w:w="8730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1800"/>
        <w:gridCol w:w="900"/>
        <w:gridCol w:w="5130"/>
      </w:tblGrid>
      <w:tr>
        <w:tc>
          <w:tcPr>
            <w:tcW w:type="dxa" w:w="9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需求名称</w:t>
            </w:r>
          </w:p>
        </w:tc>
        <w:tc>
          <w:tcPr>
            <w:tcW w:type="dxa" w:w="9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优先级</w:t>
            </w:r>
          </w:p>
        </w:tc>
        <w:tc>
          <w:tcPr>
            <w:tcW w:type="dxa" w:w="51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验收方式</w:t>
            </w:r>
          </w:p>
        </w:tc>
      </w:tr>
      <w:tr>
        <w:tc>
          <w:tcPr>
            <w:tcW w:type="dxa" w:w="9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FR-01</w:t>
            </w:r>
          </w:p>
        </w:tc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单图检测</w:t>
            </w:r>
          </w:p>
        </w:tc>
        <w:tc>
          <w:tcPr>
            <w:tcW w:type="dxa" w:w="9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51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上传样例图片后生成标注图、摘要卡片和单任务报告</w:t>
            </w:r>
          </w:p>
        </w:tc>
      </w:tr>
      <w:tr>
        <w:tc>
          <w:tcPr>
            <w:tcW w:type="dxa" w:w="9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FR-02</w:t>
            </w:r>
          </w:p>
        </w:tc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批量检测</w:t>
            </w:r>
          </w:p>
        </w:tc>
        <w:tc>
          <w:tcPr>
            <w:tcW w:type="dxa" w:w="9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51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多图上传后可切换结果并导出批量报告 ZIP</w:t>
            </w:r>
          </w:p>
        </w:tc>
      </w:tr>
      <w:tr>
        <w:tc>
          <w:tcPr>
            <w:tcW w:type="dxa" w:w="9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FR-03</w:t>
            </w:r>
          </w:p>
        </w:tc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视频检测</w:t>
            </w:r>
          </w:p>
        </w:tc>
        <w:tc>
          <w:tcPr>
            <w:tcW w:type="dxa" w:w="9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51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视频任务可轮询进度、查看完成结果并支持停止</w:t>
            </w:r>
          </w:p>
        </w:tc>
      </w:tr>
      <w:tr>
        <w:tc>
          <w:tcPr>
            <w:tcW w:type="dxa" w:w="9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FR-04</w:t>
            </w:r>
          </w:p>
        </w:tc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实时摄像头</w:t>
            </w:r>
          </w:p>
        </w:tc>
        <w:tc>
          <w:tcPr>
            <w:tcW w:type="dxa" w:w="9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51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可诊断设备、启动实时检测并形成历史任务</w:t>
            </w:r>
          </w:p>
        </w:tc>
      </w:tr>
      <w:tr>
        <w:tc>
          <w:tcPr>
            <w:tcW w:type="dxa" w:w="9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FR-05</w:t>
            </w:r>
          </w:p>
        </w:tc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随机点名</w:t>
            </w:r>
          </w:p>
        </w:tc>
        <w:tc>
          <w:tcPr>
            <w:tcW w:type="dxa" w:w="9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51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检测到人头目标后可随机抽取并显示命中区域</w:t>
            </w:r>
          </w:p>
        </w:tc>
      </w:tr>
      <w:tr>
        <w:tc>
          <w:tcPr>
            <w:tcW w:type="dxa" w:w="9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FR-06</w:t>
            </w:r>
          </w:p>
        </w:tc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模型管理</w:t>
            </w:r>
          </w:p>
        </w:tc>
        <w:tc>
          <w:tcPr>
            <w:tcW w:type="dxa" w:w="9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51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可扫描候选模型、显示当前模型并阻止未批准路径</w:t>
            </w:r>
          </w:p>
        </w:tc>
      </w:tr>
      <w:tr>
        <w:tc>
          <w:tcPr>
            <w:tcW w:type="dxa" w:w="9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FR-07</w:t>
            </w:r>
          </w:p>
        </w:tc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报告归档</w:t>
            </w:r>
          </w:p>
        </w:tc>
        <w:tc>
          <w:tcPr>
            <w:tcW w:type="dxa" w:w="9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51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HTML 报告和 ZIP 清单内容通过契约校验</w:t>
            </w:r>
          </w:p>
        </w:tc>
      </w:tr>
    </w:tbl>
    <w:p/>
    <w:p>
      <w:pPr>
        <w:pStyle w:val="Heading2"/>
      </w:pPr>
      <w:r>
        <w:t>3.2 报告与历史需求</w:t>
      </w:r>
    </w:p>
    <w:p>
      <w:pPr>
        <w:spacing w:line="360" w:lineRule="auto"/>
        <w:ind w:firstLine="420"/>
      </w:pPr>
      <w:r>
        <w:t>系统应保存每次检测任务的类型、文件名、处理状态、检测统计、任务摘要和报告路径。历史记录应支持按模式筛选、按时间或主指标排序，并支持多选任务后批量导出报告 ZIP。</w:t>
      </w:r>
    </w:p>
    <w:p>
      <w:pPr>
        <w:spacing w:line="360" w:lineRule="auto"/>
        <w:ind w:firstLine="420"/>
      </w:pPr>
      <w:r>
        <w:t>单任务报告应包含检测概况、关键指标、行为统计和可读说明；批量报告 ZIP 应包含 HTML 报告、readme.txt 和 manifest.csv，便于人工查阅和后续归档。</w:t>
      </w:r>
    </w:p>
    <w:p>
      <w:pPr>
        <w:pStyle w:val="Heading1"/>
      </w:pPr>
      <w:r>
        <w:t>四、非功能性需求</w:t>
      </w:r>
    </w:p>
    <w:tbl>
      <w:tblPr>
        <w:tblStyle w:val="TableGrid"/>
        <w:tblW w:type="dxa" w:w="873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7230"/>
      </w:tblGrid>
      <w:tr>
        <w:tc>
          <w:tcPr>
            <w:tcW w:type="dxa" w:w="15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类别</w:t>
            </w:r>
          </w:p>
        </w:tc>
        <w:tc>
          <w:tcPr>
            <w:tcW w:type="dxa" w:w="72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要求</w:t>
            </w:r>
          </w:p>
        </w:tc>
      </w:tr>
      <w:tr>
        <w:tc>
          <w:tcPr>
            <w:tcW w:type="dxa" w:w="15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可移植性</w:t>
            </w:r>
          </w:p>
        </w:tc>
        <w:tc>
          <w:tcPr>
            <w:tcW w:type="dxa" w:w="72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依赖以 requirements.txt 和本地 .venv 为主，路径保存采用相对 models 的形式。</w:t>
            </w:r>
          </w:p>
        </w:tc>
      </w:tr>
      <w:tr>
        <w:tc>
          <w:tcPr>
            <w:tcW w:type="dxa" w:w="15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稳定性</w:t>
            </w:r>
          </w:p>
        </w:tc>
        <w:tc>
          <w:tcPr>
            <w:tcW w:type="dxa" w:w="72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接口错误统一返回 JSON，视频停止、报告复用、批量导出具备契约测试。</w:t>
            </w:r>
          </w:p>
        </w:tc>
      </w:tr>
      <w:tr>
        <w:tc>
          <w:tcPr>
            <w:tcW w:type="dxa" w:w="15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可审计性</w:t>
            </w:r>
          </w:p>
        </w:tc>
        <w:tc>
          <w:tcPr>
            <w:tcW w:type="dxa" w:w="72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保留 verify_all、strict_system_audit、browser_visual_audit 等可复现验收入口。</w:t>
            </w:r>
          </w:p>
        </w:tc>
      </w:tr>
      <w:tr>
        <w:tc>
          <w:tcPr>
            <w:tcW w:type="dxa" w:w="15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安全性</w:t>
            </w:r>
          </w:p>
        </w:tc>
        <w:tc>
          <w:tcPr>
            <w:tcW w:type="dxa" w:w="72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管理员配置、运行时密钥、上传目录和输出目录避免作为默认固定敏感配置提交。</w:t>
            </w:r>
          </w:p>
        </w:tc>
      </w:tr>
      <w:tr>
        <w:tc>
          <w:tcPr>
            <w:tcW w:type="dxa" w:w="15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可用性</w:t>
            </w:r>
          </w:p>
        </w:tc>
        <w:tc>
          <w:tcPr>
            <w:tcW w:type="dxa" w:w="723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主工作台提供模式切换、历史筛选、报告打开、资源下载和通知反馈。</w:t>
            </w:r>
          </w:p>
        </w:tc>
      </w:tr>
    </w:tbl>
    <w:p/>
    <w:p>
      <w:pPr>
        <w:spacing w:line="360" w:lineRule="auto"/>
        <w:ind w:firstLine="420"/>
      </w:pPr>
      <w:r>
        <w:t>非功能性需求在本项目中直接关系到答辩现场稳定性。系统不能只在单一路径下运行成功，还应在错误上传、重复点击、模型切换、任务停止、报告资源缺失等边界场景下保持可理解的反馈。</w:t>
      </w:r>
    </w:p>
    <w:p>
      <w:pPr>
        <w:pStyle w:val="Heading1"/>
      </w:pPr>
      <w:r>
        <w:t>五、数据与接口需求</w:t>
      </w:r>
    </w:p>
    <w:tbl>
      <w:tblPr>
        <w:tblStyle w:val="TableGrid"/>
        <w:tblW w:type="dxa" w:w="8730"/>
        <w:jc w:val="center"/>
        <w:tblLayout w:type="fixed"/>
        <w:tblLook w:firstColumn="1" w:firstRow="1" w:lastColumn="0" w:lastRow="0" w:noHBand="0" w:noVBand="1" w:val="04A0"/>
      </w:tblPr>
      <w:tblGrid>
        <w:gridCol w:w="1400"/>
        <w:gridCol w:w="1850"/>
        <w:gridCol w:w="2500"/>
        <w:gridCol w:w="2980"/>
      </w:tblGrid>
      <w:tr>
        <w:tc>
          <w:tcPr>
            <w:tcW w:type="dxa" w:w="14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1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输入</w:t>
            </w:r>
          </w:p>
        </w:tc>
        <w:tc>
          <w:tcPr>
            <w:tcW w:type="dxa" w:w="25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输出</w:t>
            </w:r>
          </w:p>
        </w:tc>
        <w:tc>
          <w:tcPr>
            <w:tcW w:type="dxa" w:w="29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14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单图检测接口</w:t>
            </w:r>
          </w:p>
        </w:tc>
        <w:tc>
          <w:tcPr>
            <w:tcW w:type="dxa" w:w="1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图片文件、置信度、IOU</w:t>
            </w:r>
          </w:p>
        </w:tc>
        <w:tc>
          <w:tcPr>
            <w:tcW w:type="dxa" w:w="25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标注图、检测明细、统计摘要</w:t>
            </w:r>
          </w:p>
        </w:tc>
        <w:tc>
          <w:tcPr>
            <w:tcW w:type="dxa" w:w="29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用于快速展示识别效果</w:t>
            </w:r>
          </w:p>
        </w:tc>
      </w:tr>
      <w:tr>
        <w:tc>
          <w:tcPr>
            <w:tcW w:type="dxa" w:w="14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批量检测接口</w:t>
            </w:r>
          </w:p>
        </w:tc>
        <w:tc>
          <w:tcPr>
            <w:tcW w:type="dxa" w:w="1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多张图片文件</w:t>
            </w:r>
          </w:p>
        </w:tc>
        <w:tc>
          <w:tcPr>
            <w:tcW w:type="dxa" w:w="25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批量任务、结果列表、汇总报告</w:t>
            </w:r>
          </w:p>
        </w:tc>
        <w:tc>
          <w:tcPr>
            <w:tcW w:type="dxa" w:w="29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用于多素材统一处理</w:t>
            </w:r>
          </w:p>
        </w:tc>
      </w:tr>
      <w:tr>
        <w:tc>
          <w:tcPr>
            <w:tcW w:type="dxa" w:w="14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视频检测接口</w:t>
            </w:r>
          </w:p>
        </w:tc>
        <w:tc>
          <w:tcPr>
            <w:tcW w:type="dxa" w:w="1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视频文件、跳帧参数</w:t>
            </w:r>
          </w:p>
        </w:tc>
        <w:tc>
          <w:tcPr>
            <w:tcW w:type="dxa" w:w="25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任务进度、结果视频、检测明细</w:t>
            </w:r>
          </w:p>
        </w:tc>
        <w:tc>
          <w:tcPr>
            <w:tcW w:type="dxa" w:w="29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支持停止和完成态报告</w:t>
            </w:r>
          </w:p>
        </w:tc>
      </w:tr>
      <w:tr>
        <w:tc>
          <w:tcPr>
            <w:tcW w:type="dxa" w:w="14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摄像头接口</w:t>
            </w:r>
          </w:p>
        </w:tc>
        <w:tc>
          <w:tcPr>
            <w:tcW w:type="dxa" w:w="1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摄像头索引、实时帧</w:t>
            </w:r>
          </w:p>
        </w:tc>
        <w:tc>
          <w:tcPr>
            <w:tcW w:type="dxa" w:w="25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实时检测结果、任务记录</w:t>
            </w:r>
          </w:p>
        </w:tc>
        <w:tc>
          <w:tcPr>
            <w:tcW w:type="dxa" w:w="29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包含诊断和异常提示</w:t>
            </w:r>
          </w:p>
        </w:tc>
      </w:tr>
      <w:tr>
        <w:tc>
          <w:tcPr>
            <w:tcW w:type="dxa" w:w="14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模型管理接口</w:t>
            </w:r>
          </w:p>
        </w:tc>
        <w:tc>
          <w:tcPr>
            <w:tcW w:type="dxa" w:w="1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模型类型、模型引用</w:t>
            </w:r>
          </w:p>
        </w:tc>
        <w:tc>
          <w:tcPr>
            <w:tcW w:type="dxa" w:w="25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当前模型信息、加载结果</w:t>
            </w:r>
          </w:p>
        </w:tc>
        <w:tc>
          <w:tcPr>
            <w:tcW w:type="dxa" w:w="29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18"/>
              </w:rPr>
              <w:t>限制未批准模型路径</w:t>
            </w:r>
          </w:p>
        </w:tc>
      </w:tr>
    </w:tbl>
    <w:p/>
    <w:p>
      <w:pPr>
        <w:spacing w:line="360" w:lineRule="auto"/>
        <w:ind w:firstLine="420"/>
      </w:pPr>
      <w:r>
        <w:t>接口异常应使用统一 JSON 结构返回错误码和错误信息，避免前端只能通过状态码或空响应判断失败。上传目录、输出目录、管理员配置和运行时密钥均应与仓库源码分离。</w:t>
      </w:r>
    </w:p>
    <w:p>
      <w:pPr>
        <w:pStyle w:val="Heading2"/>
      </w:pPr>
      <w:r>
        <w:t>5.1 数据保存要求</w:t>
      </w:r>
    </w:p>
    <w:p>
      <w:pPr>
        <w:spacing w:line="360" w:lineRule="auto"/>
        <w:ind w:firstLine="420"/>
      </w:pPr>
      <w:r>
        <w:t>检测任务应保存任务编号、任务类型、原始文件、输出文件、检测数量、平均置信度、处理时长、行为统计和报告文件名。对于视频与摄像头任务，还应保留帧级明细、追踪指标和可用于回看分析的 summary 数据。</w:t>
      </w:r>
    </w:p>
    <w:p>
      <w:pPr>
        <w:pStyle w:val="Heading1"/>
      </w:pPr>
      <w:r>
        <w:t>六、验收标准</w:t>
      </w:r>
    </w:p>
    <w:p>
      <w:pPr>
        <w:pStyle w:val="ListBullet"/>
        <w:spacing w:line="360" w:lineRule="auto"/>
        <w:ind w:firstLine="0"/>
      </w:pPr>
      <w:r>
        <w:t>一键总验收 `scripts/verify_all.py` 返回 overall_status=OK。</w:t>
      </w:r>
    </w:p>
    <w:p>
      <w:pPr>
        <w:pStyle w:val="ListBullet"/>
        <w:spacing w:line="360" w:lineRule="auto"/>
        <w:ind w:firstLine="0"/>
      </w:pPr>
      <w:r>
        <w:t>单图、批量、视频、摄像头、历史、报告导出主链路均有自动化验证。</w:t>
      </w:r>
    </w:p>
    <w:p>
      <w:pPr>
        <w:pStyle w:val="ListBullet"/>
        <w:spacing w:line="360" w:lineRule="auto"/>
        <w:ind w:firstLine="0"/>
      </w:pPr>
      <w:r>
        <w:t>浏览器审计覆盖桌面、笔记本和移动视口，console/network 无未处理问题。</w:t>
      </w:r>
    </w:p>
    <w:p>
      <w:pPr>
        <w:pStyle w:val="ListBullet"/>
        <w:spacing w:line="360" w:lineRule="auto"/>
        <w:ind w:firstLine="0"/>
      </w:pPr>
      <w:r>
        <w:t>最终归档包不包含数据集和临时运行状态，保留运行所需源码、模型和文档。</w:t>
      </w:r>
    </w:p>
    <w:p>
      <w:pPr>
        <w:spacing w:line="360" w:lineRule="auto"/>
        <w:ind w:firstLine="420"/>
      </w:pPr>
      <w:r>
        <w:t>若验收脚本出现故意注入的异常日志，应以脚本退出码、最终汇总 JSON 和对应契约文件为准。项目提交时应同时提供源码、模型验证结果、系统测试报告、Bug 修复日志和最终归档包。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7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/>
        <w:b w:val="0"/>
        <w:color w:val="000000"/>
        <w:sz w:val="18"/>
      </w:rPr>
      <w:t xml:space="preserve">课堂行为检测系统课程项目材料    </w:t>
    </w:r>
    <w:r>
      <w:rPr>
        <w:rFonts w:ascii="SimSun" w:hAnsi="SimSun" w:eastAsia="SimSun"/>
        <w:b w:val="0"/>
        <w:color w:val="000000"/>
        <w:sz w:val="18"/>
      </w:rP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rPr>
        <w:rFonts w:ascii="SimSun" w:hAnsi="SimSun" w:eastAsia="SimSun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SimSun"/>
        <w:b w:val="0"/>
        <w:color w:val="000000"/>
        <w:sz w:val="18"/>
      </w:rPr>
      <w:t>课堂行为检测系统需求规格说明书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20"/>
    </w:pPr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contextualSpacing/>
    </w:pPr>
    <w:rPr>
      <w:rFonts w:ascii="SimSun" w:hAnsi="SimSun" w:eastAsia="SimSun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after="0"/>
      <w:contextualSpacing/>
    </w:pPr>
    <w:rPr>
      <w:rFonts w:ascii="SimSun" w:hAnsi="SimSun" w:eastAsia="SimSun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