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多相Buck项目讨论基线</w:t>
      </w:r>
    </w:p>
    <w:p>
      <w:pPr>
        <w:pStyle w:val="Subtitle"/>
      </w:pPr>
      <w:r>
        <w:t>版本 v0.1    更新日期 2026年10月14日</w:t>
      </w:r>
    </w:p>
    <w:p>
      <w:r>
        <w:t>本文用于保存当前项目方向、初步器件选择和验证顺序，作为后续原理图、仿真、PCB 与软件讨论的共同起点。项目先完成单相同步 Buck，再逐步扩展到两相交错和数字控制；各分支共用目标与测试方法，但不要求所有高速驱动硬件通用。</w:t>
      </w:r>
    </w:p>
    <w:p>
      <w:pPr>
        <w:pStyle w:val="Heading2"/>
      </w:pPr>
      <w:r>
        <w:t>1 当前决定</w:t>
      </w:r>
    </w:p>
    <w:p>
      <w:r>
        <w:t>项目保留三个方向：LM25149 加 Si MOSFET 的紧凑模拟版本；外置驱动器的 GaN 对比版本；C2000 数字控制版本。其中，分压式双 Zener 负压驱动归入 C2000 方向，驱动硬件验证提前开展，不必等到数字闭环完成。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422"/>
      </w:tblGrid>
      <w:tr>
        <w:trPr>
          <w:cantSplit/>
          <w:tblHeader/>
        </w:trPr>
        <w:tc>
          <w:tcPr>
            <w:tcW w:type="dxa" w:w="1814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3402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主要目标</w:t>
            </w:r>
          </w:p>
        </w:tc>
        <w:tc>
          <w:tcPr>
            <w:tcW w:type="dxa" w:w="4422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当前方案状态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 紧凑模拟 Si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先建立可调试的单相硬件基线，再扩展两相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LM25149 已选为方向；Si 功率管未定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 GaN 对比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学习高速驱动与低寄生布局，评估损耗和功率密度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TPS40400＋LMG1210 为初步组合；接口待核对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 C2000 数字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学习双 Zener 驱动，并逐步实现数字闭环与均流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C2000 方向确认；型号、驱动器、供电未定</w:t>
            </w:r>
          </w:p>
        </w:tc>
      </w:tr>
    </w:tbl>
    <w:p/>
    <w:p>
      <w:pPr>
        <w:pStyle w:val="Heading2"/>
      </w:pPr>
      <w:r>
        <w:t>2 阅读与版本约定</w:t>
      </w:r>
    </w:p>
    <w:p>
      <w:r>
        <w:t>“已确认”表示已确定的项目意图或架构方向；“初步”表示可用于推进计算，但仍需设计验证；“示例”仅用于教学；“待定”不能直接转为采购或制板依据。</w:t>
      </w:r>
    </w:p>
    <w:p>
      <w:r>
        <w:t>本版本尚无完成的最终 BOM、PCB、样机实测或效率与温升结论。“高功率密度”和“自然散热连续运行”均为设计目标，最终需由明确的尺寸、环境温度及测试数据支持。</w:t>
      </w:r>
    </w:p>
    <w:p>
      <w:r>
        <w:t>后续修改优先记录“为什么改变、改变了哪些边界、需要重新验证什么”。不能把器件耐压、典型峰值电流或参考板额定值直接等同于本项目能力。</w:t>
      </w:r>
    </w:p>
    <w:p>
      <w:r>
        <w:br w:type="page"/>
      </w:r>
    </w:p>
    <w:p>
      <w:pPr>
        <w:pStyle w:val="Heading1"/>
      </w:pPr>
      <w:r>
        <w:t>3 共同指标与计算起点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891"/>
        <w:gridCol w:w="4876"/>
      </w:tblGrid>
      <w:tr>
        <w:trPr>
          <w:cantSplit/>
          <w:tblHeader/>
        </w:trPr>
        <w:tc>
          <w:tcPr>
            <w:tcW w:type="dxa" w:w="1871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91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当前基线</w:t>
            </w:r>
          </w:p>
        </w:tc>
        <w:tc>
          <w:tcPr>
            <w:tcW w:type="dxa" w:w="4876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状态与说明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输入与输出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 V → 3.3 V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初步标称工作点；输入容差与实际最大值待定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额定输出电流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 A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当前单相设计目标，须留峰值和热裕量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开关频率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400 kHz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初步起点；三分支可先在相同频率比较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输出功率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39.6 W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由 3.3 V × 12 A 计算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散热条件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自然散热连续运行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目标；环境温度、板尺寸、允许温升待定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后续扩展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两相 180° 交错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约 20 A 总输出为讨论起点，非已验证规格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电感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2.2 μH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仅计算示例，饱和电流、损耗与封装未定</w:t>
            </w:r>
          </w:p>
        </w:tc>
      </w:tr>
    </w:tbl>
    <w:p/>
    <w:p>
      <w:r>
        <w:t>最早提出的 Vin 5–18 V、Vout 1–4.2 V、Iout 12–20 A、fsw 300–800 kHz 是选取设计工作点的范围，并不表示第一版必须覆盖全部范围。尤其不能在尚未确认输入上限时，直接锁定耐压裕量。</w:t>
      </w:r>
    </w:p>
    <w:p>
      <w:pPr>
        <w:pStyle w:val="Heading2"/>
      </w:pPr>
      <w:r>
        <w:t>计算示例</w:t>
      </w:r>
    </w:p>
    <w:p>
      <w:r>
        <w:t>按理想连续导通模式、12 V → 3.3 V、400 kHz、L = 2.2 μH 估算：占空比约 0.275；电感纹波约 2.72 A 峰峰值；12 A 平均电流时峰值约 13.36 A。以上未包含电感容差、饱和、输入变化及瞬态过冲，不能直接作为限流阈值。</w:t>
      </w:r>
    </w:p>
    <w:p>
      <w:r>
        <w:t>上下管导通时均承受接近电感电流的电流，并非各承担 6 A。若上下管相同，忽略死区且考虑上述纹波，其总导通损耗约为 144.62 × RDS(on,热态)。例如热态电阻为 4 mΩ 时，两管合计约 0.58 W。</w:t>
      </w:r>
    </w:p>
    <w:p>
      <w:pPr>
        <w:pStyle w:val="Heading2"/>
      </w:pPr>
      <w:r>
        <w:t>比较必须保持一致的条件</w:t>
      </w:r>
    </w:p>
    <w:p>
      <w:r>
        <w:t>Si 与 GaN 的比较应尽量统一输入、输出、负载、频率、散热边界和测量方法。除 MOSFET 损耗外，还需统计电感、采样、电容、驱动与辅助供电损耗；不能仅用 Qg 或室温导通电阻推断整机效率。</w:t>
      </w:r>
    </w:p>
    <w:p>
      <w:r>
        <w:br w:type="page"/>
      </w:r>
    </w:p>
    <w:p>
      <w:pPr>
        <w:pStyle w:val="Heading1"/>
      </w:pPr>
      <w:r>
        <w:t>4 方向A 紧凑模拟Si版本</w:t>
      </w:r>
    </w:p>
    <w:p>
      <w:pPr>
        <w:pStyle w:val="Heading2"/>
      </w:pPr>
      <w:r>
        <w:t>目标与初步选择</w:t>
      </w:r>
    </w:p>
    <w:p>
      <w:r>
        <w:t>以 LM25149 内置驱动方案完成可工作的单相同步 Buck，重点学习功率器件、电感与电容选型，电流采样、补偿、热设计和 PCB。该器件集成高低侧驱动，支持两相交错与均流，可作为后续模拟双相的基础。[1]</w:t>
      </w:r>
    </w:p>
    <w:p>
      <w:r>
        <w:t>本方向按常规约 0 V 栅源关断设计。分压式双 Zener RC 网络暂不加入主驱动路径，以免将驱动电压分配与外加延迟同时引入第一版调试。这里的选择不意味着 0 V 关断天然无误导通风险，也不意味着负压一定必要。</w:t>
      </w:r>
    </w:p>
    <w:p>
      <w:pPr>
        <w:pStyle w:val="Heading2"/>
      </w:pPr>
      <w:r>
        <w:t>为什么不在此版本强行加入双Zener</w:t>
      </w:r>
    </w:p>
    <w:p>
      <w:r>
        <w:t>LM25149 约 5 V 的驱动电压预算较紧；分压与 RC 网络会改变实际栅极正压、关断瞬态和延迟。其自适应死区依据驱动输出状态判断，外部网络还可能使 MOSFET 实际栅极与检测点的变化不同步。因此，它不是这套负压驱动学习实验的优先平台，不能仅凭“输出能接电阻电容”判定兼容。[1，第8.3.15节]</w:t>
      </w:r>
    </w:p>
    <w:p>
      <w:pPr>
        <w:pStyle w:val="Heading2"/>
      </w:pPr>
      <w:r>
        <w:t>功率管选择原则</w:t>
      </w:r>
    </w:p>
    <w:p>
      <w:pPr>
        <w:ind w:left="113"/>
      </w:pPr>
      <w:r>
        <w:t>• 按输入实际最大值及开关尖峰确定 VDS 裕量；按实际栅压查询导通电阻，而非默认使用 10 V 条件。</w:t>
      </w:r>
    </w:p>
    <w:p>
      <w:pPr>
        <w:ind w:left="113"/>
      </w:pPr>
      <w:r>
        <w:t>• 结合热态 RDS(on)、Qg、Qgd、输出电荷、反向恢复、封装与散热路径比较。上管偏重开关损耗，下管偏重导通与换流损耗。</w:t>
      </w:r>
    </w:p>
    <w:p>
      <w:pPr>
        <w:ind w:left="113"/>
      </w:pPr>
      <w:r>
        <w:t>• CSD17576Q5B 仅为先前教学示例，尚未选为 BOM。其 30 V 等级能否适用，要等输入边界与尖峰验证后决定。[4]</w:t>
      </w:r>
    </w:p>
    <w:p>
      <w:pPr>
        <w:pStyle w:val="Heading2"/>
      </w:pPr>
      <w:r>
        <w:t>需要真正设计的驱动部分</w:t>
      </w:r>
    </w:p>
    <w:p>
      <w:r>
        <w:t>内置驱动不等于无需设计驱动电路。仍需计算自举电容，布置 VCC 去耦，选择栅极电阻和栅源下拉，并检查上电、欠压及关断状态。若采用分立开通与关断电阻路径，还需核对二极管方向、延迟与实际死区。</w:t>
      </w:r>
    </w:p>
    <w:p>
      <w:r>
        <w:t>误导通验证应观察 MOSFET 引脚处的 VGS，而非只看控制器 HO/LO。优先缩短栅极与回流路径、避免共源功率电流污染驱动回路，再依据实测调整关断阻抗。负压不能替代这些工作。</w:t>
      </w:r>
    </w:p>
    <w:p>
      <w:r>
        <w:br w:type="page"/>
      </w:r>
    </w:p>
    <w:p>
      <w:pPr>
        <w:pStyle w:val="Heading1"/>
      </w:pPr>
      <w:r>
        <w:t>5 方向B GaN对比版本</w:t>
      </w:r>
    </w:p>
    <w:p>
      <w:pPr>
        <w:pStyle w:val="Heading2"/>
      </w:pPr>
      <w:r>
        <w:t>目标与初步架构</w:t>
      </w:r>
    </w:p>
    <w:p>
      <w:r>
        <w:t>初步保留 TPS40400＋LMG1210＋离散 GaN 的思路，但这不是已确认可直接连接的最终电路。TPS40400 本身带驱动输出，不能把它当作普通逻辑 PWM 控制器；LMG1210 的逻辑输入、电平、使能与工作模式必须逐项匹配。[2,3]</w:t>
      </w:r>
    </w:p>
    <w:p>
      <w:r>
        <w:t>TI PMP21440 可用于研究这一组合的接口方法，但其输入、输出与功率器件不同，不能直接照搬成本项目 12 V 输入电路。尤其需要重新核对所有逻辑脚电压、启动时序、关断方式和死区。[3]</w:t>
      </w:r>
    </w:p>
    <w:p>
      <w:pPr>
        <w:pStyle w:val="Heading2"/>
      </w:pPr>
      <w:r>
        <w:t>候选器件状态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948"/>
        <w:gridCol w:w="4365"/>
      </w:tblGrid>
      <w:tr>
        <w:trPr>
          <w:cantSplit/>
          <w:tblHeader/>
        </w:trPr>
        <w:tc>
          <w:tcPr>
            <w:tcW w:type="dxa" w:w="2324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器件</w:t>
            </w:r>
          </w:p>
        </w:tc>
        <w:tc>
          <w:tcPr>
            <w:tcW w:type="dxa" w:w="2948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当前定位</w:t>
            </w:r>
          </w:p>
        </w:tc>
        <w:tc>
          <w:tcPr>
            <w:tcW w:type="dxa" w:w="4365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需要进一步比较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EPC2366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优先评估候选；40 V PQFN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实际损耗、驱动裕量、焊接与供应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INN040FQ015A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国产候选；40 V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低导通电阻与较大栅极电荷的权衡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INN040FQ043A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国产候选；40 V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较小电荷与较高导通电阻的权衡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EPC2055 等裸片方案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曾讨论，非当前优先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无钢网条件下的组装难度</w:t>
            </w:r>
          </w:p>
        </w:tc>
      </w:tr>
    </w:tbl>
    <w:p/>
    <w:p>
      <w:r>
        <w:t>表中均不是采购结论。当前装配条件未具备钢网，选型还要考虑隐藏焊盘、锡量控制和返修条件；不能为了手工焊接方便而拉长高速栅极回路。必要时采用钢网或委托关键器件贴装。供应与小批量价格需要采购前重新确认。</w:t>
      </w:r>
    </w:p>
    <w:p>
      <w:pPr>
        <w:pStyle w:val="Heading2"/>
      </w:pPr>
      <w:r>
        <w:t>选型与布局重点</w:t>
      </w:r>
    </w:p>
    <w:p>
      <w:r>
        <w:t>Qg 越小并不一定越好。应结合实际 VGS、VDS、电流和温度下的 RDS(on)、Qgd、Qoss/Eoss、反向导通及热性能评估。增强型 GaN 的栅压窗口较窄，正向过冲与负向尖峰均需核对厂家限制。[2,5]</w:t>
      </w:r>
    </w:p>
    <w:p>
      <w:r>
        <w:t>驱动器、两只 GaN、就近母线陶瓷电容及自举回路应放在同一紧凑功率区域。供电、PWM 和直流输出可用接口；SW 不宜作为长导线跨板传输的常规接口。初版优先保留本地电感和短换流回路。</w:t>
      </w:r>
    </w:p>
    <w:p>
      <w:r>
        <w:t>本分支不直接复制 Si 双 Zener 网络。GaN 驱动与 Si 负压驱动分别计算、分别验证。上下管用同型号可简化采购，但后续两相均流主要取决于采样、控制与功率路径匹配，不由上下管同型号自动保证。</w:t>
      </w:r>
    </w:p>
    <w:p>
      <w:r>
        <w:br w:type="page"/>
      </w:r>
    </w:p>
    <w:p>
      <w:pPr>
        <w:pStyle w:val="Heading1"/>
      </w:pPr>
      <w:r>
        <w:t>6 方向C C2000与双Zener驱动</w:t>
      </w:r>
    </w:p>
    <w:p>
      <w:pPr>
        <w:pStyle w:val="Heading2"/>
      </w:pPr>
      <w:r>
        <w:t>已经确定的安排</w:t>
      </w:r>
    </w:p>
    <w:p>
      <w:r>
        <w:t>双 Zener 负压驱动归入 C2000 数字版本，驱动硬件验证提前进行。第一阶段只需可控 PWM 和可靠保护，不要求同时完成数字电压环、电流环与多相均流。C2000 型号、外置半桥驱动器及驱动供电电压仍待选择。</w:t>
      </w:r>
    </w:p>
    <w:p>
      <w:r>
        <w:t>信号路径建议为：C2000 或前期受控 PWM 源 → 输入与使能接口 → 外置半桥驱动器 → RC 分压与双 Zener 网络 → Si MOSFET。功率母线与驱动辅助供电分别定义，不能默认驱动电压必须等于 12 V 母线。</w:t>
      </w:r>
    </w:p>
    <w:p>
      <w:pPr>
        <w:pStyle w:val="Heading2"/>
      </w:pPr>
      <w:r>
        <w:t>本次讨论的网络是什么</w:t>
      </w:r>
    </w:p>
    <w:p>
      <w:r>
        <w:t>以已讨论图中的上管为例：驱动输出经过开通/关断电阻路径到达节点 A；A 与 Gate 之间是 R3 与 C1 并联；R4 接 Gate–Source；两只反向串联 Zener 接 Gate–Source 作双向钳位。这里的 R3 不能与另一张直驱图中的栅源下拉 R3 混淆。</w:t>
      </w:r>
    </w:p>
    <w:p>
      <w:r>
        <w:t>在钳位未导通且忽略驱动器输出阻抗时，高电平稳态栅压近似为 Vdrv × R4/(R1＋R3＋R4)。当输出下降，C1 的耦合作用可使栅极暂时低于源极；随后电荷经电阻网络重新分配。实际幅度还受 MOSFET 非线性电容、驱动阻抗和 Zener 钳位影响。</w:t>
      </w:r>
    </w:p>
    <w:p>
      <w:r>
        <w:t>连续 PWM 下，负压不必在每周期结束前恢复为 0 V；但它也不是独立稳压的负电源。停止 PWM、脉冲跳跃、长关断、启动和占空比变化都可能改变负压幅度。因此必须同时验证稳态周期波形与异常时序。</w:t>
      </w:r>
    </w:p>
    <w:p>
      <w:pPr>
        <w:pStyle w:val="Heading2"/>
      </w:pPr>
      <w:r>
        <w:t>驱动器和供电应围绕目标栅压选择</w:t>
      </w:r>
    </w:p>
    <w:p>
      <w:pPr>
        <w:ind w:left="113"/>
      </w:pPr>
      <w:r>
        <w:t>• 先选择 Si MOSFET，并根据推荐驱动条件确定正压和允许负压，再计算供电、分压与钳位；此前讨论的 −2 V 等数值仅是例子。</w:t>
      </w:r>
    </w:p>
    <w:p>
      <w:pPr>
        <w:ind w:left="113"/>
      </w:pPr>
      <w:r>
        <w:t>• 核对实际米勒阶段的灌拉电流、输出阻抗、传播延迟与匹配、欠压行为、逻辑阈值和使能状态，不能只比较“几安培峰值”。</w:t>
      </w:r>
    </w:p>
    <w:p>
      <w:pPr>
        <w:ind w:left="113"/>
      </w:pPr>
      <w:r>
        <w:t>• 高侧驱动与其网络均以高侧 Source 即 SW 为参考。自举需要足够的刷新时间；长期高占空比和启动条件需重新检查。</w:t>
      </w:r>
    </w:p>
    <w:p>
      <w:r>
        <w:t>先验证 Si 网络，再考虑是否存在迁移到其他器件的必要。原 SiC 分支已取消；TPS40425 也只是曾评估的控制器候选，并未替代当前三个方向。</w:t>
      </w:r>
    </w:p>
    <w:p>
      <w:r>
        <w:br w:type="page"/>
      </w:r>
    </w:p>
    <w:p>
      <w:pPr>
        <w:pStyle w:val="Heading1"/>
      </w:pPr>
      <w:r>
        <w:t>7 提前进行的驱动验证与复用</w:t>
      </w:r>
    </w:p>
    <w:p>
      <w:pPr>
        <w:pStyle w:val="Heading2"/>
      </w:pPr>
      <w:r>
        <w:t>验证顺序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969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主要观察量</w:t>
            </w:r>
          </w:p>
        </w:tc>
        <w:tc>
          <w:tcPr>
            <w:tcW w:type="dxa" w:w="3855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继续推进的条件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一 单管驱动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VGS 正负峰值、平台、振铃；启动与停波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栅压处于设计窗口，异常时能可靠关断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二 低压半桥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上下管 VGS、SW、死区；自举电压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无可疑重叠导通，关断裕量可解释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三 带电感小电流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电感电流、换流扰动、器件温升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扩大工作点前完成限流与故障验证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四 额定工况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损耗、温升、负载变化与重复启动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以完整记录证明 12 A 连续能力</w:t>
            </w:r>
          </w:p>
        </w:tc>
      </w:tr>
    </w:tbl>
    <w:p/>
    <w:p>
      <w:r>
        <w:t>前期测试采用限压限流电源，并分阶段提高母线与负载。电源限流不能替代快速硬件过流关断。MOSFET 引脚处测量应使用适合共模电压和边沿速度的差分测量方法；不能把接地示波器探头地夹直接接到高侧 SW。</w:t>
      </w:r>
    </w:p>
    <w:p>
      <w:pPr>
        <w:pStyle w:val="Heading2"/>
      </w:pPr>
      <w:r>
        <w:t>故障与负压验证不能只看正常PWM</w:t>
      </w:r>
    </w:p>
    <w:p>
      <w:r>
        <w:t>至少覆盖上电顺序、驱动欠压、PWM 丢失、控制器复位、停波、占空比突变以及长时间关断。记录正向驱动是否充分、负压是否过深、负压衰减后是否仍能可靠关断。双 Zener 网络的电阻损耗、钳位电流和电容电压也需检查。</w:t>
      </w:r>
    </w:p>
    <w:p>
      <w:pPr>
        <w:pStyle w:val="Heading2"/>
      </w:pPr>
      <w:r>
        <w:t>优先复用的接口</w:t>
      </w:r>
    </w:p>
    <w:p>
      <w:r>
        <w:t>控制接口可预留两路 PWM、硬件使能、故障反馈和明确的信号地；具体电平和上电默认态待驱动器选定。功率板预留输出电压、每相电流与温度采样接口，以便后续 C2000 接管。信号带宽、量程与抗混叠设计应随控制需求确定。</w:t>
      </w:r>
    </w:p>
    <w:p>
      <w:r>
        <w:t>硬件故障应能直接撤销驱动使能或触发 PWM 硬件关断，不依赖软件循环及时响应。C2000 版本需规划 PWM 死区、ADC 同步采样和 Trip Zone 等保护资源，但具体型号与引脚分配尚未确定。</w:t>
      </w:r>
    </w:p>
    <w:p>
      <w:r>
        <w:t>可复用的是设计计算、器件评估、接口定义、测试记录和部分功率级布局经验。驱动器与 MOSFET 的高速连接应保持本地短回路，不追求通过通用端子任意替换所有栅极驱动。</w:t>
      </w:r>
    </w:p>
    <w:p>
      <w:r>
        <w:br w:type="page"/>
      </w:r>
    </w:p>
    <w:p>
      <w:pPr>
        <w:pStyle w:val="Heading1"/>
      </w:pPr>
      <w:r>
        <w:t>8 迭代路线与待确认事项</w:t>
      </w:r>
    </w:p>
    <w:p>
      <w:pPr>
        <w:pStyle w:val="Heading2"/>
      </w:pPr>
      <w:r>
        <w:t>建议的推进顺序</w:t>
      </w:r>
    </w:p>
    <w:p>
      <w:r>
        <w:t>V1：完成方向 A 的单相模拟 Si 基线；与之并行，在独立验证板或验证区域完成方向 C 的双 Zener 驱动研究。两者共享测试方法，但不强行共享栅极网络。</w:t>
      </w:r>
    </w:p>
    <w:p>
      <w:r>
        <w:t>V2：在已验证单相功率级基础上扩展两相模拟交错，加入每相电流观测、真实均流和保护。两路 Buck 仅将输出相连并不足以构成可靠多相系统；需要同步、相位安排和均流机制。</w:t>
      </w:r>
    </w:p>
    <w:p>
      <w:r>
        <w:t>V3：进行 GaN 对比及采样、监控与热设计完善。保持可比较工况，依据损耗与温升决定是否提高频率或缩小体积。版本顺序可按器件和实验条件调整，不必等三个方向全部完成才总结。</w:t>
      </w:r>
    </w:p>
    <w:p>
      <w:r>
        <w:t>V4：C2000 接管 PWM，依次实现受控开环、单相闭环、保护联动与双相均流，再研究动态策略。前期验证的双 Zener 驱动硬件在此阶段继续使用，但更换 PWM 时序后仍需复验。</w:t>
      </w:r>
    </w:p>
    <w:p>
      <w:pPr>
        <w:pStyle w:val="Heading2"/>
      </w:pPr>
      <w:r>
        <w:t>下一轮讨论优先解决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4309"/>
        <w:gridCol w:w="4365"/>
      </w:tblGrid>
      <w:tr>
        <w:trPr>
          <w:cantSplit/>
          <w:tblHeader/>
        </w:trPr>
        <w:tc>
          <w:tcPr>
            <w:tcW w:type="dxa" w:w="964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4309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待确定问题</w:t>
            </w:r>
          </w:p>
        </w:tc>
        <w:tc>
          <w:tcPr>
            <w:tcW w:type="dxa" w:w="4365"/>
            <w:vAlign w:val="center"/>
            <w:shd w:fill="E8EF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输入最大值、容差和电源瞬态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MOSFET 耐压、控制器边界与保护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C2000 分支的 Si MOSFET 与目标 VGS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驱动器、辅助供电、双 Zener/RC 参数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实际仪器、差分测量与硬件保护条件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驱动验证方案和可安全测试范围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板尺寸、环境温度、允许温升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自然散热与功率密度的验收标准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纹波、动态偏差、效率与保护阈值目标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L/C、补偿、采样与测试工况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C2000 型号与两相总电流目标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PWM/ADC/保护资源和数字均流方案</w:t>
            </w:r>
          </w:p>
        </w:tc>
      </w:tr>
    </w:tbl>
    <w:p/>
    <w:p>
      <w:r>
        <w:t>每轮讨论后更新本文件：保留已确认方向，注明候选器件变动及依据；仿真、样机与实测结果分别标记。只有完成相应验证后，才把“设计目标”改写为“已实现指标”。</w:t>
      </w:r>
    </w:p>
    <w:p>
      <w:r>
        <w:br w:type="page"/>
      </w:r>
    </w:p>
    <w:p>
      <w:pPr>
        <w:pStyle w:val="Heading1"/>
      </w:pPr>
      <w:r>
        <w:t>9 资料入口与仓库整理</w:t>
      </w:r>
    </w:p>
    <w:p>
      <w:r>
        <w:t>以下为继续设计时优先查阅的原始资料。器件电气参数、工作条件与推荐布局应以当前官方数据手册为准；参考设计用于理解连接方法，不能替代本项目边界核对。</w:t>
      </w:r>
    </w:p>
    <w:p>
      <w:hyperlink r:id="rId10">
        <w:r>
          <w:rPr>
            <w:color w:val="205A86"/>
          </w:rPr>
          <w:t>[1] TI LM25149 数据手册</w:t>
        </w:r>
      </w:hyperlink>
    </w:p>
    <w:p>
      <w:pPr>
        <w:spacing w:after="160"/>
      </w:pPr>
      <w:r>
        <w:t>重点：第8.3.15节驱动与死区、两相应用、电源与布局。</w:t>
      </w:r>
    </w:p>
    <w:p>
      <w:hyperlink r:id="rId11">
        <w:r>
          <w:rPr>
            <w:color w:val="205A86"/>
          </w:rPr>
          <w:t>[2] TI LMG1210 数据手册</w:t>
        </w:r>
      </w:hyperlink>
    </w:p>
    <w:p>
      <w:pPr>
        <w:spacing w:after="160"/>
      </w:pPr>
      <w:r>
        <w:t>重点：输入模式、栅极供电、使能、死区、自举及布局。</w:t>
      </w:r>
    </w:p>
    <w:p>
      <w:hyperlink r:id="rId12">
        <w:r>
          <w:rPr>
            <w:color w:val="205A86"/>
          </w:rPr>
          <w:t>[3] TI PMP21440 参考设计</w:t>
        </w:r>
      </w:hyperlink>
    </w:p>
    <w:p>
      <w:pPr>
        <w:spacing w:after="160"/>
      </w:pPr>
      <w:r>
        <w:t>用于研究 TPS40400 与外置 GaN 驱动的接口，不等于本项目参数。</w:t>
      </w:r>
    </w:p>
    <w:p>
      <w:hyperlink r:id="rId13">
        <w:r>
          <w:rPr>
            <w:color w:val="205A86"/>
          </w:rPr>
          <w:t>[4] TI CSD17576Q5B 数据手册</w:t>
        </w:r>
      </w:hyperlink>
    </w:p>
    <w:p>
      <w:pPr>
        <w:spacing w:after="160"/>
      </w:pPr>
      <w:r>
        <w:t>先前 Si MOSFET 教学样例，未选为最终器件。</w:t>
      </w:r>
    </w:p>
    <w:p>
      <w:hyperlink r:id="rId14">
        <w:r>
          <w:rPr>
            <w:color w:val="205A86"/>
          </w:rPr>
          <w:t>[5] EPC2366 数据手册</w:t>
        </w:r>
      </w:hyperlink>
    </w:p>
    <w:p>
      <w:pPr>
        <w:spacing w:after="160"/>
      </w:pPr>
      <w:r>
        <w:t>候选器件电气参数、栅压限制与封装装配资料。</w:t>
      </w:r>
    </w:p>
    <w:p>
      <w:hyperlink r:id="rId15">
        <w:r>
          <w:rPr>
            <w:color w:val="205A86"/>
          </w:rPr>
          <w:t>[6] TI TPS40400 数据手册</w:t>
        </w:r>
      </w:hyperlink>
    </w:p>
    <w:p>
      <w:pPr>
        <w:spacing w:after="160"/>
      </w:pPr>
      <w:r>
        <w:t>重点核对驱动输出性质、参考地与控制接口。</w:t>
      </w:r>
    </w:p>
    <w:p>
      <w:hyperlink r:id="rId16">
        <w:r>
          <w:rPr>
            <w:color w:val="205A86"/>
          </w:rPr>
          <w:t>[7] TI C2000 数字电源 SDK</w:t>
        </w:r>
      </w:hyperlink>
    </w:p>
    <w:p>
      <w:pPr>
        <w:spacing w:after="160"/>
      </w:pPr>
      <w:r>
        <w:t>后续数字电源示例和资源入口；不代表已确定控制器型号。</w:t>
      </w:r>
    </w:p>
    <w:p>
      <w:pPr>
        <w:pStyle w:val="Heading2"/>
      </w:pPr>
      <w:r>
        <w:t>建议的GitHub目录</w:t>
      </w:r>
    </w:p>
    <w:p>
      <w:r>
        <w:t>docs：本讨论基线、指标与设计说明；calculations：损耗和磁性元件计算；simulation：模型及使用条件；hardware：原理图、PCB 与版本 BOM；firmware：C2000 程序；tests：工况、波形、效率和温升记录。</w:t>
      </w:r>
    </w:p>
    <w:p>
      <w:r>
        <w:t>仓库首页说明项目状态与各分支目标。每次发布记录硬件版本、软件版本、器件变更和验证工况；候选清单与已焊接 BOM 分开管理。当前文件不含账号、联系方式或本地电脑路径，可作为项目文档起点。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多相 Buck 项目基线  | 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ti.com/lit/ds/symlink/lm25149.pdf" TargetMode="External"/><Relationship Id="rId11" Type="http://schemas.openxmlformats.org/officeDocument/2006/relationships/hyperlink" Target="https://www.ti.com/lit/ds/symlink/lmg1210.pdf" TargetMode="External"/><Relationship Id="rId12" Type="http://schemas.openxmlformats.org/officeDocument/2006/relationships/hyperlink" Target="https://www.ti.com/tool/PMP21440" TargetMode="External"/><Relationship Id="rId13" Type="http://schemas.openxmlformats.org/officeDocument/2006/relationships/hyperlink" Target="https://www.ti.com/lit/ds/symlink/csd17576q5b.pdf" TargetMode="External"/><Relationship Id="rId14" Type="http://schemas.openxmlformats.org/officeDocument/2006/relationships/hyperlink" Target="https://epc-co.com/epc/Portals/0/epc/documents/datasheets/EPC2366_datasheet.pdf" TargetMode="External"/><Relationship Id="rId15" Type="http://schemas.openxmlformats.org/officeDocument/2006/relationships/hyperlink" Target="https://www.ti.com/lit/ds/symlink/tps40400.pdf" TargetMode="External"/><Relationship Id="rId16" Type="http://schemas.openxmlformats.org/officeDocument/2006/relationships/hyperlink" Target="https://www.ti.com/tool/C2000WARE-DIGITALPOWER-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多相Buck项目讨论基线</dc:title>
  <dc:subject>三条技术方向、初步选择与迭代计划</dc:subject>
  <dc:creator/>
  <cp:keywords>Buck, Si, GaN, C2000, 双Zener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