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0"/>
        </w:rPr>
        <w:t>Task 1 — Document 02: Proposed Solution</w:t>
      </w:r>
    </w:p>
    <w:p>
      <w:r>
        <w:rPr>
          <w:color w:val="475569"/>
          <w:sz w:val="17"/>
        </w:rPr>
        <w:t>02_proposed_solution.md  •  SIH 2026 — Sovereign AI Workbench (PS 26117)  •  MRPL</w:t>
      </w:r>
    </w:p>
    <w:p>
      <w:pPr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9FF"/>
          </w:tcPr>
          <w:p>
            <w:r/>
            <w:r>
              <w:rPr>
                <w:i/>
                <w:color w:val="0284C7"/>
                <w:sz w:val="19"/>
              </w:rPr>
              <w:t>Problem Statement ID: PS 26117 / SIH26117 Title: Sovereign On-Premise Agentic AI Workbench using Open-Weight Multimodal LLMs for Confidential Industrial Work Organization: Mangalore Refinery and Petrochemicals Limited (MRPL) Category: Software | Theme: Smart Automation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1. Solution Overview</w:t>
      </w:r>
    </w:p>
    <w:p>
      <w:r>
        <w:t xml:space="preserve">The </w:t>
      </w:r>
      <w:r>
        <w:rPr>
          <w:b/>
        </w:rPr>
        <w:t>Sovereign AI Workbench</w:t>
      </w:r>
      <w:r>
        <w:t xml:space="preserve"> is a specialized, air-gapped, on-premise artificial intelligence workstation designed to serve as an intelligent digital assistant for MRPL industrial engineers.</w:t>
      </w:r>
    </w:p>
    <w:p>
      <w:r>
        <w:t xml:space="preserve">By unifying open-weight large language models (LLMs), local visual text extraction (OCR), and dense vector similarity retrieval into a cohesive single-node FastAPI backend, the solution guarantees </w:t>
      </w:r>
      <w:r>
        <w:rPr>
          <w:b/>
        </w:rPr>
        <w:t>complete data sovereignty</w:t>
      </w:r>
      <w:r>
        <w:t>: zero bytes of data, prompts, embeddings, or inspection images ever cross the local network boundary.</w:t>
      </w:r>
    </w:p>
    <w:p>
      <w:pPr>
        <w:pStyle w:val="Heading3"/>
      </w:pPr>
      <w:r>
        <w:t>High-Level Architecture Component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Core Component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Technical Subsystem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Primary Function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Local Multimodal OCR Pipeline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glm-ocr:q8_0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Extracts text from scanned images, nameplates, and maintenance logs.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Local RAG Vector Engine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nomic-embed-text</w:t>
            </w:r>
            <w:r>
              <w:rPr>
                <w:color w:val="1E293B"/>
                <w:sz w:val="17"/>
              </w:rPr>
              <w:t xml:space="preserve"> + Cosine Store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Ingests PDFs/TXTs, generates 768-dim embeddings, performs similarity search.</w:t>
            </w:r>
          </w:p>
        </w:tc>
      </w:tr>
      <w:tr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Specialized Model Task Router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 xml:space="preserve">Router Engine in </w:t>
            </w:r>
            <w:r>
              <w:rPr>
                <w:rFonts w:ascii="Consolas" w:hAnsi="Consolas"/>
                <w:b/>
                <w:color w:val="1E293B"/>
                <w:sz w:val="17"/>
              </w:rPr>
              <w:t>main.py</w:t>
            </w:r>
          </w:p>
        </w:tc>
        <w:tc>
          <w:tcPr>
            <w:tcW w:type="dxa" w:w="336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 xml:space="preserve">Routes prompts to </w:t>
            </w:r>
            <w:r>
              <w:rPr>
                <w:rFonts w:ascii="Consolas" w:hAnsi="Consolas"/>
                <w:b/>
                <w:color w:val="1E293B"/>
                <w:sz w:val="17"/>
              </w:rPr>
              <w:t>qwen3.5:4b</w:t>
            </w:r>
            <w:r>
              <w:rPr>
                <w:color w:val="1E293B"/>
                <w:sz w:val="17"/>
              </w:rPr>
              <w:t xml:space="preserve"> (RAG/General) or </w:t>
            </w:r>
            <w:r>
              <w:rPr>
                <w:rFonts w:ascii="Consolas" w:hAnsi="Consolas"/>
                <w:b/>
                <w:color w:val="1E293B"/>
                <w:sz w:val="17"/>
              </w:rPr>
              <w:t>qwen2.5-coder:7b</w:t>
            </w:r>
            <w:r>
              <w:rPr>
                <w:color w:val="1E293B"/>
                <w:sz w:val="17"/>
              </w:rPr>
              <w:t xml:space="preserve"> (Coding).</w:t>
            </w:r>
          </w:p>
        </w:tc>
      </w:tr>
    </w:tbl>
    <w:p>
      <w:pPr>
        <w:spacing w:after="8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2. Core Architectural Pillars</w:t>
      </w:r>
    </w:p>
    <w:p>
      <w:pPr>
        <w:pStyle w:val="Heading3"/>
      </w:pPr>
      <w:r>
        <w:t>Pillar 1: Total Data Sovereignty &amp; Offline Execution</w:t>
      </w:r>
    </w:p>
    <w:p>
      <w:pPr>
        <w:pStyle w:val="ListBullet"/>
      </w:pPr>
      <w:r>
        <w:t xml:space="preserve">Built on top of </w:t>
      </w:r>
      <w:r>
        <w:rPr>
          <w:b/>
        </w:rPr>
        <w:t>Ollama</w:t>
      </w:r>
      <w:r>
        <w:t>, an open-source model execution runtime that hosts and executes GGUF/quantized models directly on local GPU/CPU hardware.</w:t>
      </w:r>
    </w:p>
    <w:p>
      <w:pPr>
        <w:pStyle w:val="ListBullet"/>
      </w:pPr>
      <w:r>
        <w:t>Fully air-gap friendly. No outbound HTTP/HTTPS connections required after initial model deployment.</w:t>
      </w:r>
    </w:p>
    <w:p>
      <w:pPr>
        <w:pStyle w:val="Heading3"/>
      </w:pPr>
      <w:r>
        <w:t>Pillar 2: Dense Retrieval-Augmented Generation (Local RAG)</w:t>
      </w:r>
    </w:p>
    <w:p>
      <w:pPr>
        <w:pStyle w:val="ListBullet"/>
      </w:pPr>
      <w:r>
        <w:t>Incoming confidential documents (PDFs, TXT, Markdown) are automatically split into semantic text chunks.</w:t>
      </w:r>
    </w:p>
    <w:p>
      <w:pPr>
        <w:pStyle w:val="ListBullet"/>
      </w:pPr>
      <w:r>
        <w:t xml:space="preserve">High-dimensional vector embeddings are generated using </w:t>
      </w:r>
      <w:r>
        <w:rPr>
          <w:rFonts w:ascii="Consolas" w:hAnsi="Consolas"/>
          <w:b/>
          <w:color w:val="0F766E"/>
          <w:sz w:val="18"/>
        </w:rPr>
        <w:t>nomic-embed-text</w:t>
      </w:r>
      <w:r>
        <w:t xml:space="preserve"> locally.</w:t>
      </w:r>
    </w:p>
    <w:p>
      <w:pPr>
        <w:pStyle w:val="ListBullet"/>
      </w:pPr>
      <w:r>
        <w:t>Chunks and embedding vectors are stored in a lightweight, local JSON index (</w:t>
      </w:r>
      <w:r>
        <w:rPr>
          <w:rFonts w:ascii="Consolas" w:hAnsi="Consolas"/>
          <w:b/>
          <w:color w:val="0F766E"/>
          <w:sz w:val="18"/>
        </w:rPr>
        <w:t>kb_index.json</w:t>
      </w:r>
      <w:r>
        <w:t>).</w:t>
      </w:r>
    </w:p>
    <w:p>
      <w:pPr>
        <w:pStyle w:val="ListBullet"/>
      </w:pPr>
      <w:r>
        <w:t>Semantic search computes cosine similarity between user queries and stored chunk embeddings to retrieve the top 5 most relevant context snippets in milliseconds.</w:t>
      </w:r>
    </w:p>
    <w:p>
      <w:pPr>
        <w:pStyle w:val="Heading3"/>
      </w:pPr>
      <w:r>
        <w:t>Pillar 3: Grounded Answering &amp; Strict Anti-Hallucination Guardrails</w:t>
      </w:r>
    </w:p>
    <w:p>
      <w:pPr>
        <w:pStyle w:val="ListBullet"/>
      </w:pPr>
      <w:r>
        <w:t xml:space="preserve">When </w:t>
      </w:r>
      <w:r>
        <w:rPr>
          <w:b/>
        </w:rPr>
        <w:t>Knowledge Mode</w:t>
      </w:r>
      <w:r>
        <w:t xml:space="preserve"> is enabled (</w:t>
      </w:r>
      <w:r>
        <w:rPr>
          <w:rFonts w:ascii="Consolas" w:hAnsi="Consolas"/>
          <w:b/>
          <w:color w:val="0F766E"/>
          <w:sz w:val="18"/>
        </w:rPr>
        <w:t>knowledge_enabled: true</w:t>
      </w:r>
      <w:r>
        <w:t>), the LLM (</w:t>
      </w:r>
      <w:r>
        <w:rPr>
          <w:rFonts w:ascii="Consolas" w:hAnsi="Consolas"/>
          <w:b/>
          <w:color w:val="0F766E"/>
          <w:sz w:val="18"/>
        </w:rPr>
        <w:t>qwen3.5:4b</w:t>
      </w:r>
      <w:r>
        <w:t xml:space="preserve">) is strictly instructed via system prompt engineering to answer </w:t>
      </w:r>
      <w:r>
        <w:rPr>
          <w:b/>
        </w:rPr>
        <w:t>only</w:t>
      </w:r>
      <w:r>
        <w:t xml:space="preserve"> using the retrieved chunk context.</w:t>
      </w:r>
    </w:p>
    <w:p>
      <w:pPr>
        <w:pStyle w:val="ListBullet"/>
      </w:pPr>
      <w:r>
        <w:t>If the semantic similarity score of retrieved context falls below threshold, or if the relevant information is absent from the Knowledge Base, the system responds: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9FF"/>
          </w:tcPr>
          <w:p>
            <w:r/>
            <w:r>
              <w:rPr>
                <w:i/>
                <w:color w:val="0284C7"/>
                <w:sz w:val="19"/>
              </w:rPr>
              <w:t>"That information is not available in the knowledge base."</w:t>
            </w:r>
          </w:p>
        </w:tc>
      </w:tr>
    </w:tbl>
    <w:p>
      <w:pPr>
        <w:spacing w:after="40"/>
      </w:pPr>
    </w:p>
    <w:p>
      <w:pPr>
        <w:pStyle w:val="ListBullet"/>
      </w:pPr>
      <w:r>
        <w:t>Prevents dangerous speculative hallucinations during critical refinery equipment queries.</w:t>
      </w:r>
    </w:p>
    <w:p>
      <w:pPr>
        <w:pStyle w:val="Heading3"/>
      </w:pPr>
      <w:r>
        <w:t>Pillar 4: Multimodal Inspection Image Parsing (GLM-OCR Integration)</w:t>
      </w:r>
    </w:p>
    <w:p>
      <w:pPr>
        <w:pStyle w:val="ListBullet"/>
      </w:pPr>
      <w:r>
        <w:t>Plant engineers frequently capture physical equipment inspection logs, nameplates, or printed reports.</w:t>
      </w:r>
    </w:p>
    <w:p>
      <w:pPr>
        <w:pStyle w:val="ListBullet"/>
      </w:pPr>
      <w:r>
        <w:t xml:space="preserve">Using </w:t>
      </w:r>
      <w:r>
        <w:rPr>
          <w:rFonts w:ascii="Consolas" w:hAnsi="Consolas"/>
          <w:b/>
          <w:color w:val="0F766E"/>
          <w:sz w:val="18"/>
        </w:rPr>
        <w:t>glm-ocr:q8_0</w:t>
      </w:r>
      <w:r>
        <w:t xml:space="preserve">, the workbench automatically extracts structured text from </w:t>
      </w:r>
      <w:r>
        <w:rPr>
          <w:rFonts w:ascii="Consolas" w:hAnsi="Consolas"/>
          <w:b/>
          <w:color w:val="0F766E"/>
          <w:sz w:val="18"/>
        </w:rPr>
        <w:t>.png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.jpg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.jpeg</w:t>
      </w:r>
      <w:r>
        <w:t xml:space="preserve">, and </w:t>
      </w:r>
      <w:r>
        <w:rPr>
          <w:rFonts w:ascii="Consolas" w:hAnsi="Consolas"/>
          <w:b/>
          <w:color w:val="0F766E"/>
          <w:sz w:val="18"/>
        </w:rPr>
        <w:t>.webp</w:t>
      </w:r>
      <w:r>
        <w:t xml:space="preserve"> images.</w:t>
      </w:r>
    </w:p>
    <w:p>
      <w:pPr>
        <w:pStyle w:val="ListBullet"/>
      </w:pPr>
      <w:r>
        <w:t>Extracted OCR text is instantly chunked, embedded, and appended to the local knowledge base, making scanned reports instantly searchable alongside standard PDFs.</w:t>
      </w:r>
    </w:p>
    <w:p>
      <w:pPr>
        <w:pStyle w:val="Heading3"/>
      </w:pPr>
      <w:r>
        <w:t>Pillar 5: Intelligent Task Routing &amp; Dedicated Specialist Models</w:t>
      </w:r>
    </w:p>
    <w:p>
      <w:pPr>
        <w:pStyle w:val="ListBullet"/>
      </w:pPr>
      <w:r>
        <w:t>Queries containing coding keywords (</w:t>
      </w:r>
      <w:r>
        <w:rPr>
          <w:rFonts w:ascii="Consolas" w:hAnsi="Consolas"/>
          <w:b/>
          <w:color w:val="0F766E"/>
          <w:sz w:val="18"/>
        </w:rPr>
        <w:t>python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code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fastapi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script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function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algorithm</w:t>
      </w:r>
      <w:r>
        <w:t xml:space="preserve">, </w:t>
      </w:r>
      <w:r>
        <w:rPr>
          <w:rFonts w:ascii="Consolas" w:hAnsi="Consolas"/>
          <w:b/>
          <w:color w:val="0F766E"/>
          <w:sz w:val="18"/>
        </w:rPr>
        <w:t>sql</w:t>
      </w:r>
      <w:r>
        <w:t xml:space="preserve">) are routed to </w:t>
      </w:r>
      <w:r>
        <w:rPr>
          <w:rFonts w:ascii="Consolas" w:hAnsi="Consolas"/>
          <w:b/>
          <w:color w:val="0F766E"/>
          <w:sz w:val="18"/>
        </w:rPr>
        <w:t>qwen2.5-coder:7b</w:t>
      </w:r>
      <w:r>
        <w:t xml:space="preserve"> for precise code synthesis.</w:t>
      </w:r>
    </w:p>
    <w:p>
      <w:pPr>
        <w:pStyle w:val="ListBullet"/>
      </w:pPr>
      <w:r>
        <w:t xml:space="preserve">General operational or grounded document queries are handled by </w:t>
      </w:r>
      <w:r>
        <w:rPr>
          <w:rFonts w:ascii="Consolas" w:hAnsi="Consolas"/>
          <w:b/>
          <w:color w:val="0F766E"/>
          <w:sz w:val="18"/>
        </w:rPr>
        <w:t>qwen3.5:4b</w:t>
      </w:r>
      <w:r>
        <w:t>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3. Operational Workflow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User Input Type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Processing Pipeline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Model / Tool Used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0f172a"/>
          </w:tcPr>
          <w:p>
            <w:r/>
            <w:r>
              <w:rPr>
                <w:b/>
                <w:color w:val="FFFFFF"/>
                <w:sz w:val="17"/>
              </w:rPr>
              <w:t>Expected Output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PDF Document Upload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Text Extraction → Chunking → Local Vector Embeddings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pypdf</w:t>
            </w:r>
            <w:r>
              <w:rPr>
                <w:color w:val="1E293B"/>
                <w:sz w:val="17"/>
              </w:rPr>
              <w:t xml:space="preserve"> + </w:t>
            </w:r>
            <w:r>
              <w:rPr>
                <w:rFonts w:ascii="Consolas" w:hAnsi="Consolas"/>
                <w:b/>
                <w:color w:val="1E293B"/>
                <w:sz w:val="17"/>
              </w:rPr>
              <w:t>nomic-embed-text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Grounded KB Index Entry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Image / Scanned Log Upload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Image Extraction → Local OCR → Text Chunking → Embeddings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glm-ocr:q8_0</w:t>
            </w:r>
            <w:r>
              <w:rPr>
                <w:color w:val="1E293B"/>
                <w:sz w:val="17"/>
              </w:rPr>
              <w:t xml:space="preserve"> + </w:t>
            </w:r>
            <w:r>
              <w:rPr>
                <w:rFonts w:ascii="Consolas" w:hAnsi="Consolas"/>
                <w:b/>
                <w:color w:val="1E293B"/>
                <w:sz w:val="17"/>
              </w:rPr>
              <w:t>nomic-embed-text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Grounded KB Index Entry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Grounded Question (Knowledge ON)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Vector Cosine Search → Top-K Retrieval → Grounded Prompt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nomic-embed-text</w:t>
            </w:r>
            <w:r>
              <w:rPr>
                <w:color w:val="1E293B"/>
                <w:sz w:val="17"/>
              </w:rPr>
              <w:t xml:space="preserve"> + </w:t>
            </w:r>
            <w:r>
              <w:rPr>
                <w:rFonts w:ascii="Consolas" w:hAnsi="Consolas"/>
                <w:b/>
                <w:color w:val="1E293B"/>
                <w:sz w:val="17"/>
              </w:rPr>
              <w:t>qwen3.5:4b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Factual Answer + Source Citations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b/>
                <w:color w:val="1E293B"/>
                <w:sz w:val="17"/>
              </w:rPr>
              <w:t>General Query (Knowledge OFF)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Direct Inference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qwen3.5:4b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8FAFC"/>
          </w:tcPr>
          <w:p>
            <w:r/>
            <w:r>
              <w:rPr>
                <w:color w:val="1E293B"/>
                <w:sz w:val="17"/>
              </w:rPr>
              <w:t>General AI Response</w:t>
            </w:r>
          </w:p>
        </w:tc>
      </w:tr>
      <w:tr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b/>
                <w:color w:val="1E293B"/>
                <w:sz w:val="17"/>
              </w:rPr>
              <w:t>Coding / Scripting Request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Keyword Task Router → Code Prompt Generation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rFonts w:ascii="Consolas" w:hAnsi="Consolas"/>
                <w:b/>
                <w:color w:val="1E293B"/>
                <w:sz w:val="17"/>
              </w:rPr>
              <w:t>qwen2.5-coder:7b</w:t>
            </w:r>
          </w:p>
        </w:tc>
        <w:tc>
          <w:tcPr>
            <w:tcW w:type="dxa" w:w="2520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/>
            <w:r>
              <w:rPr>
                <w:color w:val="1E293B"/>
                <w:sz w:val="17"/>
              </w:rPr>
              <w:t>Executable Code / Script</w:t>
            </w:r>
          </w:p>
        </w:tc>
      </w:tr>
    </w:tbl>
    <w:p>
      <w:pPr>
        <w:spacing w:after="80"/>
      </w:pPr>
    </w:p>
    <w:p>
      <w:pPr>
        <w:pBdr>
          <w:bottom w:val="single" w:sz="6" w:space="1" w:color="CBD5E1"/>
        </w:pBdr>
      </w:pPr>
    </w:p>
    <w:p>
      <w:pPr>
        <w:pStyle w:val="Heading2"/>
      </w:pPr>
      <w:r>
        <w:t>4. Alignment with MRPL Industrial Safety &amp; SOP Requirements</w:t>
      </w:r>
    </w:p>
    <w:p>
      <w:pPr>
        <w:pStyle w:val="ListNumber"/>
      </w:pPr>
      <w:r>
        <w:rPr>
          <w:b/>
        </w:rPr>
        <w:t xml:space="preserve">1. </w:t>
      </w:r>
      <w:r>
        <w:rPr>
          <w:b/>
        </w:rPr>
        <w:t>Refinery SOP Verification</w:t>
      </w:r>
      <w:r>
        <w:t>: Allows maintenance crews to quickly verify exact step-by-step pump/compressor maintenance procedures directly from indexed MRPL manuals.</w:t>
      </w:r>
    </w:p>
    <w:p>
      <w:pPr>
        <w:pStyle w:val="ListNumber"/>
      </w:pPr>
      <w:r>
        <w:rPr>
          <w:b/>
        </w:rPr>
        <w:t xml:space="preserve">2. </w:t>
      </w:r>
      <w:r>
        <w:rPr>
          <w:b/>
        </w:rPr>
        <w:t>HSE (Health, Safety &amp; Environment) Audit Readiness</w:t>
      </w:r>
      <w:r>
        <w:t>: Instantly retrieves safety guidelines, hazardous material handling steps, and emergency shutdown procedures.</w:t>
      </w:r>
    </w:p>
    <w:p>
      <w:pPr>
        <w:pStyle w:val="ListNumber"/>
      </w:pPr>
      <w:r>
        <w:rPr>
          <w:b/>
        </w:rPr>
        <w:t xml:space="preserve">3. </w:t>
      </w:r>
      <w:r>
        <w:rPr>
          <w:b/>
        </w:rPr>
        <w:t>Equipment History Indexing</w:t>
      </w:r>
      <w:r>
        <w:t>: Historical inspection reports (scanned or digital) can be uploaded in bulk, building an institutional memory accessible to all plant engineers.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Confidential — Mangalore Refinery and Petrochemicals Limited (MRPL)   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PAGE</w:instrText>
    </w:r>
    <w:r>
      <w:rPr>
        <w:color w:val="64748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748B"/>
        <w:sz w:val="16"/>
      </w:rPr>
      <w:t>SIH 2026 — Day 1 Task 1: Sovereign AI Workbench (PS 26117)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69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