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06: Workflow &amp; User Flow Diagrams</w:t>
      </w:r>
    </w:p>
    <w:p>
      <w:r>
        <w:rPr>
          <w:color w:val="475569"/>
          <w:sz w:val="17"/>
        </w:rPr>
        <w:t>06_workflow_user_flow_diagram.md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🔀 1. High-Level User Flow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user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User flow: upload pipeline (left) vs chat query pipeline (right)  [source: Mermaid block 1]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🔄 2. Detailed Sequence Diagrams</w:t>
      </w:r>
    </w:p>
    <w:p>
      <w:pPr>
        <w:pStyle w:val="Heading3"/>
      </w:pPr>
      <w:r>
        <w:t>Sequence 1: Image Upload &amp; GLM-OCR Ingestion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90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seq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9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Sequence: image upload &amp; GLM-OCR ingestion pipeline  [source: Mermaid block 2]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3"/>
      </w:pPr>
      <w:r>
        <w:t>Sequence 2: Grounded RAG Query Execution (Knowledge 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83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seq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8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Sequence: grounded RAG query execution (Knowledge ON)  [source: Mermaid block 3]</w:t>
      </w:r>
    </w:p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3"/>
      </w:pPr>
      <w:r>
        <w:t>Sequence 3: Code Generation Task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76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seq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6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— Sequence: code-generation task routing to qwen2.5-coder:7b  [source: Mermaid block 4]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