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1a365d"/>
          <w:sz w:val="36"/>
          <w:szCs w:val="36"/>
          <w:rtl w:val="0"/>
        </w:rPr>
        <w:t xml:space="preserve">PROJECT DESIGN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2b6cb0"/>
          <w:sz w:val="24"/>
          <w:szCs w:val="24"/>
          <w:rtl w:val="0"/>
        </w:rPr>
        <w:t xml:space="preserve">PROPOSED SOLUTION TEMPLATE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tbl>
      <w:tblPr>
        <w:tblStyle w:val="Table1"/>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0"/>
          <w:tblHeader w:val="0"/>
        </w:trPr>
        <w:tc>
          <w:tcPr>
            <w:shd w:fill="f7fafc" w:val="clear"/>
            <w:vAlign w:val="center"/>
          </w:tcPr>
          <w:p w:rsidR="00000000" w:rsidDel="00000000" w:rsidP="00000000" w:rsidRDefault="00000000" w:rsidRPr="00000000" w14:paraId="00000004">
            <w:pPr>
              <w:spacing w:after="0" w:before="0" w:lineRule="auto"/>
              <w:rPr/>
            </w:pPr>
            <w:r w:rsidDel="00000000" w:rsidR="00000000" w:rsidRPr="00000000">
              <w:rPr>
                <w:rFonts w:ascii="Calibri" w:cs="Calibri" w:eastAsia="Calibri" w:hAnsi="Calibri"/>
                <w:b w:val="1"/>
                <w:bCs w:val="1"/>
                <w:color w:val="1a365d"/>
                <w:sz w:val="19"/>
                <w:szCs w:val="19"/>
                <w:rtl w:val="0"/>
              </w:rPr>
              <w:t xml:space="preserve">Date:</w:t>
            </w:r>
            <w:r w:rsidDel="00000000" w:rsidR="00000000" w:rsidRPr="00000000">
              <w:rPr>
                <w:rtl w:val="0"/>
              </w:rPr>
            </w:r>
          </w:p>
        </w:tc>
        <w:tc>
          <w:tcPr/>
          <w:p w:rsidR="00000000" w:rsidDel="00000000" w:rsidP="00000000" w:rsidRDefault="00000000" w:rsidRPr="00000000" w14:paraId="00000005">
            <w:pPr>
              <w:spacing w:after="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 October 2026</w:t>
            </w:r>
            <w:r w:rsidDel="00000000" w:rsidR="00000000" w:rsidRPr="00000000">
              <w:rPr>
                <w:rtl w:val="0"/>
              </w:rPr>
            </w:r>
          </w:p>
        </w:tc>
        <w:tc>
          <w:tcPr>
            <w:shd w:fill="f7fafc" w:val="clear"/>
            <w:vAlign w:val="center"/>
          </w:tcPr>
          <w:p w:rsidR="00000000" w:rsidDel="00000000" w:rsidP="00000000" w:rsidRDefault="00000000" w:rsidRPr="00000000" w14:paraId="00000006">
            <w:pPr>
              <w:spacing w:after="0" w:before="0" w:lineRule="auto"/>
              <w:rPr/>
            </w:pPr>
            <w:r w:rsidDel="00000000" w:rsidR="00000000" w:rsidRPr="00000000">
              <w:rPr>
                <w:rFonts w:ascii="Calibri" w:cs="Calibri" w:eastAsia="Calibri" w:hAnsi="Calibri"/>
                <w:b w:val="1"/>
                <w:bCs w:val="1"/>
                <w:color w:val="1a365d"/>
                <w:sz w:val="19"/>
                <w:szCs w:val="19"/>
                <w:rtl w:val="0"/>
              </w:rPr>
              <w:t xml:space="preserve">Team ID:</w:t>
            </w:r>
            <w:r w:rsidDel="00000000" w:rsidR="00000000" w:rsidRPr="00000000">
              <w:rPr>
                <w:rtl w:val="0"/>
              </w:rPr>
            </w:r>
          </w:p>
        </w:tc>
        <w:tc>
          <w:tcPr>
            <w:shd w:fill="f7fafc" w:val="clear"/>
            <w:vAlign w:val="cente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b w:val="0"/>
                <w:bCs w:val="0"/>
                <w:color w:val="2d3748"/>
                <w:sz w:val="19"/>
                <w:szCs w:val="19"/>
                <w:rtl w:val="0"/>
              </w:rPr>
              <w:t xml:space="preserve">SWTID-2026-9936</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b w:val="1"/>
                <w:bCs w:val="1"/>
                <w:color w:val="1a365d"/>
                <w:sz w:val="19"/>
                <w:szCs w:val="19"/>
                <w:rtl w:val="0"/>
              </w:rPr>
              <w:t xml:space="preserve">Project Name:</w:t>
            </w:r>
            <w:r w:rsidDel="00000000" w:rsidR="00000000" w:rsidRPr="00000000">
              <w:rPr>
                <w:rtl w:val="0"/>
              </w:rPr>
            </w:r>
          </w:p>
        </w:tc>
        <w:tc>
          <w:tcPr>
            <w:shd w:fill="f7fafc" w:val="clear"/>
            <w:vAlign w:val="cente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b w:val="0"/>
                <w:bCs w:val="0"/>
                <w:color w:val="2d3748"/>
                <w:sz w:val="19"/>
                <w:szCs w:val="19"/>
                <w:rtl w:val="0"/>
              </w:rPr>
              <w:t xml:space="preserve">Auto Ticket Classification using Flow Designer</w:t>
            </w:r>
            <w:r w:rsidDel="00000000" w:rsidR="00000000" w:rsidRPr="00000000">
              <w:rPr>
                <w:rtl w:val="0"/>
              </w:rPr>
            </w:r>
          </w:p>
        </w:tc>
        <w:tc>
          <w:tcPr>
            <w:shd w:fill="f7fafc" w:val="clear"/>
            <w:vAlign w:val="cente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b w:val="1"/>
                <w:bCs w:val="1"/>
                <w:color w:val="1a365d"/>
                <w:sz w:val="19"/>
                <w:szCs w:val="19"/>
                <w:rtl w:val="0"/>
              </w:rPr>
              <w:t xml:space="preserve">Max Marks:</w:t>
            </w:r>
            <w:r w:rsidDel="00000000" w:rsidR="00000000" w:rsidRPr="00000000">
              <w:rPr>
                <w:rtl w:val="0"/>
              </w:rPr>
            </w:r>
          </w:p>
        </w:tc>
        <w:tc>
          <w:tcPr>
            <w:shd w:fill="f7fafc" w:val="clear"/>
            <w:vAlign w:val="center"/>
          </w:tcPr>
          <w:p w:rsidR="00000000" w:rsidDel="00000000" w:rsidP="00000000" w:rsidRDefault="00000000" w:rsidRPr="00000000" w14:paraId="0000000B">
            <w:pPr>
              <w:spacing w:after="0" w:before="0" w:lineRule="auto"/>
              <w:rPr/>
            </w:pPr>
            <w:r w:rsidDel="00000000" w:rsidR="00000000" w:rsidRPr="00000000">
              <w:rPr>
                <w:rFonts w:ascii="Calibri" w:cs="Calibri" w:eastAsia="Calibri" w:hAnsi="Calibri"/>
                <w:b w:val="0"/>
                <w:bCs w:val="0"/>
                <w:color w:val="2d3748"/>
                <w:sz w:val="19"/>
                <w:szCs w:val="19"/>
                <w:rtl w:val="0"/>
              </w:rPr>
              <w:t xml:space="preserve">2 Marks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0C">
            <w:pPr>
              <w:spacing w:after="0" w:before="0" w:lineRule="auto"/>
              <w:rPr/>
            </w:pPr>
            <w:r w:rsidDel="00000000" w:rsidR="00000000" w:rsidRPr="00000000">
              <w:rPr>
                <w:rFonts w:ascii="Calibri" w:cs="Calibri" w:eastAsia="Calibri" w:hAnsi="Calibri"/>
                <w:b w:val="1"/>
                <w:bCs w:val="1"/>
                <w:color w:val="1a365d"/>
                <w:sz w:val="19"/>
                <w:szCs w:val="19"/>
                <w:rtl w:val="0"/>
              </w:rPr>
              <w:t xml:space="preserve">Team Lead:</w:t>
            </w:r>
            <w:r w:rsidDel="00000000" w:rsidR="00000000" w:rsidRPr="00000000">
              <w:rPr>
                <w:rtl w:val="0"/>
              </w:rPr>
            </w:r>
          </w:p>
        </w:tc>
        <w:tc>
          <w:tcPr>
            <w:shd w:fill="f7fafc" w:val="clear"/>
            <w:vAlign w:val="center"/>
          </w:tcPr>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b w:val="0"/>
                <w:bCs w:val="0"/>
                <w:color w:val="2d3748"/>
                <w:sz w:val="19"/>
                <w:szCs w:val="19"/>
                <w:rtl w:val="0"/>
              </w:rPr>
              <w:t xml:space="preserve">Pavithran B</w:t>
            </w:r>
            <w:r w:rsidDel="00000000" w:rsidR="00000000" w:rsidRPr="00000000">
              <w:rPr>
                <w:rtl w:val="0"/>
              </w:rPr>
            </w:r>
          </w:p>
        </w:tc>
        <w:tc>
          <w:tcPr>
            <w:shd w:fill="f7fafc" w:val="clear"/>
            <w:vAlign w:val="center"/>
          </w:tcPr>
          <w:p w:rsidR="00000000" w:rsidDel="00000000" w:rsidP="00000000" w:rsidRDefault="00000000" w:rsidRPr="00000000" w14:paraId="0000000E">
            <w:pPr>
              <w:spacing w:after="0" w:before="0" w:lineRule="auto"/>
              <w:rPr/>
            </w:pPr>
            <w:r w:rsidDel="00000000" w:rsidR="00000000" w:rsidRPr="00000000">
              <w:rPr>
                <w:rFonts w:ascii="Calibri" w:cs="Calibri" w:eastAsia="Calibri" w:hAnsi="Calibri"/>
                <w:b w:val="1"/>
                <w:bCs w:val="1"/>
                <w:color w:val="1a365d"/>
                <w:sz w:val="19"/>
                <w:szCs w:val="19"/>
                <w:rtl w:val="0"/>
              </w:rPr>
              <w:t xml:space="preserve">Team Members:</w:t>
            </w:r>
            <w:r w:rsidDel="00000000" w:rsidR="00000000" w:rsidRPr="00000000">
              <w:rPr>
                <w:rtl w:val="0"/>
              </w:rPr>
            </w:r>
          </w:p>
        </w:tc>
        <w:tc>
          <w:tcPr>
            <w:shd w:fill="f7fafc" w:val="clear"/>
            <w:vAlign w:val="center"/>
          </w:tcPr>
          <w:p w:rsidR="00000000" w:rsidDel="00000000" w:rsidP="00000000" w:rsidRDefault="00000000" w:rsidRPr="00000000" w14:paraId="0000000F">
            <w:pPr>
              <w:spacing w:after="0" w:before="0" w:lineRule="auto"/>
              <w:rPr/>
            </w:pPr>
            <w:r w:rsidDel="00000000" w:rsidR="00000000" w:rsidRPr="00000000">
              <w:rPr>
                <w:rFonts w:ascii="Calibri" w:cs="Calibri" w:eastAsia="Calibri" w:hAnsi="Calibri"/>
                <w:b w:val="0"/>
                <w:bCs w:val="0"/>
                <w:color w:val="2d3748"/>
                <w:sz w:val="19"/>
                <w:szCs w:val="19"/>
                <w:rtl w:val="0"/>
              </w:rPr>
              <w:t xml:space="preserve">Poovendhiran C R, Rajasekara Babu, Prabhakaran M, Vishnu Priyan</w:t>
            </w:r>
            <w:r w:rsidDel="00000000" w:rsidR="00000000" w:rsidRPr="00000000">
              <w:rPr>
                <w:rtl w:val="0"/>
              </w:rPr>
            </w:r>
          </w:p>
        </w:tc>
      </w:tr>
    </w:tbl>
    <w:p w:rsidR="00000000" w:rsidDel="00000000" w:rsidP="00000000" w:rsidRDefault="00000000" w:rsidRPr="00000000" w14:paraId="00000010">
      <w:pPr>
        <w:spacing w:after="160" w:lineRule="auto"/>
        <w:rPr/>
      </w:pPr>
      <w:r w:rsidDel="00000000" w:rsidR="00000000" w:rsidRPr="00000000">
        <w:rPr>
          <w:rtl w:val="0"/>
        </w:rPr>
      </w:r>
    </w:p>
    <w:tbl>
      <w:tblPr>
        <w:tblStyle w:val="Table2"/>
        <w:tblW w:w="10800.0" w:type="dxa"/>
        <w:jc w:val="center"/>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1a365d" w:val="cle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1"/>
                <w:bCs w:val="1"/>
                <w:color w:val="ffffff"/>
                <w:sz w:val="20"/>
                <w:szCs w:val="20"/>
                <w:rtl w:val="0"/>
              </w:rPr>
              <w:t xml:space="preserve">S.No.</w:t>
            </w:r>
            <w:r w:rsidDel="00000000" w:rsidR="00000000" w:rsidRPr="00000000">
              <w:rPr>
                <w:rtl w:val="0"/>
              </w:rPr>
            </w:r>
          </w:p>
        </w:tc>
        <w:tc>
          <w:tcPr>
            <w:shd w:fill="1a365d" w:val="cle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1"/>
                <w:bCs w:val="1"/>
                <w:color w:val="ffffff"/>
                <w:sz w:val="20"/>
                <w:szCs w:val="20"/>
                <w:rtl w:val="0"/>
              </w:rPr>
              <w:t xml:space="preserve">Parameter</w:t>
            </w:r>
            <w:r w:rsidDel="00000000" w:rsidR="00000000" w:rsidRPr="00000000">
              <w:rPr>
                <w:rtl w:val="0"/>
              </w:rPr>
            </w:r>
          </w:p>
        </w:tc>
        <w:tc>
          <w:tcPr>
            <w:shd w:fill="1a365d" w:val="cle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1a365d"/>
                <w:sz w:val="19"/>
                <w:szCs w:val="19"/>
                <w:rtl w:val="0"/>
              </w:rPr>
              <w:t xml:space="preserve">1</w:t>
            </w:r>
            <w:r w:rsidDel="00000000" w:rsidR="00000000" w:rsidRPr="00000000">
              <w:rPr>
                <w:rtl w:val="0"/>
              </w:rPr>
            </w:r>
          </w:p>
        </w:tc>
        <w:tc>
          <w:tcPr>
            <w:shd w:fill="f7fafc" w:val="cle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1a365d"/>
                <w:sz w:val="19"/>
                <w:szCs w:val="19"/>
                <w:rtl w:val="0"/>
              </w:rPr>
              <w:t xml:space="preserve">Problem Statement</w:t>
              <w:br w:type="textWrapping"/>
              <w:t xml:space="preserve">(Problem to be solved)</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color w:val="2d3748"/>
                <w:sz w:val="18"/>
                <w:szCs w:val="18"/>
                <w:rtl w:val="0"/>
              </w:rPr>
              <w:t xml:space="preserve">The school IT helpdesk receives a high volume of daily support requests (covering network connectivity, hardware failures, account access, and performance bottlenecks). IT support staff manually review every incoming ticket to identify issue types, assign categories/subcategories, and notify callers. This manual approach is time-consuming, error-prone, lacks scalability, and causes response delays.</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1a365d"/>
                <w:sz w:val="19"/>
                <w:szCs w:val="19"/>
                <w:rtl w:val="0"/>
              </w:rPr>
              <w:t xml:space="preserve">2</w:t>
            </w:r>
            <w:r w:rsidDel="00000000" w:rsidR="00000000" w:rsidRPr="00000000">
              <w:rPr>
                <w:rtl w:val="0"/>
              </w:rPr>
            </w:r>
          </w:p>
        </w:tc>
        <w:tc>
          <w:tcPr>
            <w:shd w:fill="f7fafc" w:val="cle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a365d"/>
                <w:sz w:val="19"/>
                <w:szCs w:val="19"/>
                <w:rtl w:val="0"/>
              </w:rPr>
              <w:t xml:space="preserve">Idea / Solution description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Calibri" w:cs="Calibri" w:eastAsia="Calibri" w:hAnsi="Calibri"/>
                <w:color w:val="2d3748"/>
                <w:sz w:val="18"/>
                <w:szCs w:val="18"/>
                <w:rtl w:val="0"/>
              </w:rPr>
              <w:t xml:space="preserve">Automates ticket classification and notification dispatch within ServiceNow using Flow Designer. The solution analyzes keywords in incoming ticket descriptions (e.g., 'Wi-Fi' -&gt; Network/Wi-Fi, 'Projector' -&gt; Hardware/Projector, 'Password' -&gt; Access/Forgot Password, 'Slow' -&gt; Performance/Slow Computer), configures dependent choice fields, and automatically dispatches immediate email confirmation notifications to callers upon ticket creation.</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1a365d"/>
                <w:sz w:val="19"/>
                <w:szCs w:val="19"/>
                <w:rtl w:val="0"/>
              </w:rPr>
              <w:t xml:space="preserve">3</w:t>
            </w:r>
            <w:r w:rsidDel="00000000" w:rsidR="00000000" w:rsidRPr="00000000">
              <w:rPr>
                <w:rtl w:val="0"/>
              </w:rPr>
            </w:r>
          </w:p>
        </w:tc>
        <w:tc>
          <w:tcPr>
            <w:shd w:fill="f7fafc" w:val="clea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1a365d"/>
                <w:sz w:val="19"/>
                <w:szCs w:val="19"/>
                <w:rtl w:val="0"/>
              </w:rPr>
              <w:t xml:space="preserve">Novelty / Uniqueness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color w:val="2d3748"/>
                <w:sz w:val="18"/>
                <w:szCs w:val="18"/>
                <w:rtl w:val="0"/>
              </w:rPr>
              <w:t xml:space="preserve">Employs a native, lightweight, no-code/low-code workflow model within ServiceNow using Flow Designer without requiring expensive machine learning scripts or external extensions. Features dynamic dependent choice filtering between Category and Subcategory fields, automated keyword rule parsing, and full Update Set isolation (`Project Update Set`) for seamless XML migration and deployment.</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D">
            <w:pPr>
              <w:jc w:val="center"/>
              <w:rPr/>
            </w:pPr>
            <w:r w:rsidDel="00000000" w:rsidR="00000000" w:rsidRPr="00000000">
              <w:rPr>
                <w:rFonts w:ascii="Calibri" w:cs="Calibri" w:eastAsia="Calibri" w:hAnsi="Calibri"/>
                <w:b w:val="1"/>
                <w:bCs w:val="1"/>
                <w:color w:val="1a365d"/>
                <w:sz w:val="19"/>
                <w:szCs w:val="19"/>
                <w:rtl w:val="0"/>
              </w:rPr>
              <w:t xml:space="preserve">4</w:t>
            </w:r>
            <w:r w:rsidDel="00000000" w:rsidR="00000000" w:rsidRPr="00000000">
              <w:rPr>
                <w:rtl w:val="0"/>
              </w:rPr>
            </w:r>
          </w:p>
        </w:tc>
        <w:tc>
          <w:tcPr>
            <w:shd w:fill="f7fafc" w:val="cle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1a365d"/>
                <w:sz w:val="19"/>
                <w:szCs w:val="19"/>
                <w:rtl w:val="0"/>
              </w:rPr>
              <w:t xml:space="preserve">Social Impact / Customer Satisfaction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Calibri" w:cs="Calibri" w:eastAsia="Calibri" w:hAnsi="Calibri"/>
                <w:color w:val="2d3748"/>
                <w:sz w:val="18"/>
                <w:szCs w:val="18"/>
                <w:rtl w:val="0"/>
              </w:rPr>
              <w:t xml:space="preserve">Eliminates manual triage delays for students, faculty, and IT staff, drastically reducing ticket resolution wait times. Automated email acknowledgments build user trust by keeping callers instantly informed, while accurate automated categorization ensures IT support teams receive pre-classified requests for rapid resolution.</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1a365d"/>
                <w:sz w:val="19"/>
                <w:szCs w:val="19"/>
                <w:rtl w:val="0"/>
              </w:rPr>
              <w:t xml:space="preserve">5</w:t>
            </w:r>
            <w:r w:rsidDel="00000000" w:rsidR="00000000" w:rsidRPr="00000000">
              <w:rPr>
                <w:rtl w:val="0"/>
              </w:rPr>
            </w:r>
          </w:p>
        </w:tc>
        <w:tc>
          <w:tcPr>
            <w:shd w:fill="f7fafc" w:val="cle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1a365d"/>
                <w:sz w:val="19"/>
                <w:szCs w:val="19"/>
                <w:rtl w:val="0"/>
              </w:rPr>
              <w:t xml:space="preserve">Business Model</w:t>
              <w:br w:type="textWrapping"/>
              <w:t xml:space="preserve">(Revenue Model)</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Calibri" w:cs="Calibri" w:eastAsia="Calibri" w:hAnsi="Calibri"/>
                <w:color w:val="2d3748"/>
                <w:sz w:val="18"/>
                <w:szCs w:val="18"/>
                <w:rtl w:val="0"/>
              </w:rPr>
              <w:t xml:space="preserve">Internal Operational Cost Reduction / Value-based Efficiency Model. By replacing manual triage with automated ServiceNow flows, the institution saves significant operational hours, eliminates human error overhead, and maximizes ROI on existing ServiceNow platform licensing without requiring additional third-party software subscriptions.</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1a365d"/>
                <w:sz w:val="19"/>
                <w:szCs w:val="19"/>
                <w:rtl w:val="0"/>
              </w:rPr>
              <w:t xml:space="preserve">6</w:t>
            </w:r>
            <w:r w:rsidDel="00000000" w:rsidR="00000000" w:rsidRPr="00000000">
              <w:rPr>
                <w:rtl w:val="0"/>
              </w:rPr>
            </w:r>
          </w:p>
        </w:tc>
        <w:tc>
          <w:tcPr>
            <w:shd w:fill="f7fafc" w:val="cle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1a365d"/>
                <w:sz w:val="19"/>
                <w:szCs w:val="19"/>
                <w:rtl w:val="0"/>
              </w:rPr>
              <w:t xml:space="preserve">Scalability of the Solution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Calibri" w:cs="Calibri" w:eastAsia="Calibri" w:hAnsi="Calibri"/>
                <w:color w:val="2d3748"/>
                <w:sz w:val="18"/>
                <w:szCs w:val="18"/>
                <w:rtl w:val="0"/>
              </w:rPr>
              <w:t xml:space="preserve">Highly scalable across educational institutions and enterprise environments. The modular keyword rules in Flow Designer can easily be extended to include additional categories (e.g., software licensing, lab equipment), automatic assignment group routing, SLA tracking, and predictive intelligence as ticket volumes increase.</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yKWMwDk8+0T5uVo+g0HwiAes4A==">CgMxLjA4AHIhMVpmUXJhNU9CLWx2a3FuT1hWNTdMNU0wQ1NKQ0EtcWt3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