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1a365d"/>
          <w:sz w:val="36"/>
          <w:szCs w:val="36"/>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2b6cb0"/>
          <w:sz w:val="24"/>
          <w:szCs w:val="24"/>
          <w:rtl w:val="0"/>
        </w:rPr>
        <w:t xml:space="preserve">SOLUTION ARCHITECTURE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tbl>
      <w:tblPr>
        <w:tblStyle w:val="Table1"/>
        <w:tblW w:w="10800.0" w:type="dxa"/>
        <w:jc w:val="center"/>
        <w:tblLayout w:type="fixed"/>
        <w:tblLook w:val="0400"/>
      </w:tblPr>
      <w:tblGrid>
        <w:gridCol w:w="2700"/>
        <w:gridCol w:w="2700"/>
        <w:gridCol w:w="2700"/>
        <w:gridCol w:w="2700"/>
        <w:tblGridChange w:id="0">
          <w:tblGrid>
            <w:gridCol w:w="2700"/>
            <w:gridCol w:w="2700"/>
            <w:gridCol w:w="2700"/>
            <w:gridCol w:w="2700"/>
          </w:tblGrid>
        </w:tblGridChange>
      </w:tblGrid>
      <w:tr>
        <w:trPr>
          <w:cantSplit w:val="0"/>
          <w:tblHeader w:val="0"/>
        </w:trPr>
        <w:tc>
          <w:tcPr>
            <w:shd w:fill="f7fafc" w:val="clear"/>
            <w:vAlign w:val="center"/>
          </w:tcPr>
          <w:p w:rsidR="00000000" w:rsidDel="00000000" w:rsidP="00000000" w:rsidRDefault="00000000" w:rsidRPr="00000000" w14:paraId="00000004">
            <w:pPr>
              <w:spacing w:after="0" w:before="0" w:lineRule="auto"/>
              <w:rPr/>
            </w:pPr>
            <w:r w:rsidDel="00000000" w:rsidR="00000000" w:rsidRPr="00000000">
              <w:rPr>
                <w:rFonts w:ascii="Calibri" w:cs="Calibri" w:eastAsia="Calibri" w:hAnsi="Calibri"/>
                <w:b w:val="1"/>
                <w:bCs w:val="1"/>
                <w:color w:val="1a365d"/>
                <w:sz w:val="19"/>
                <w:szCs w:val="19"/>
                <w:rtl w:val="0"/>
              </w:rPr>
              <w:t xml:space="preserve">Date:</w:t>
            </w:r>
            <w:r w:rsidDel="00000000" w:rsidR="00000000" w:rsidRPr="00000000">
              <w:rPr>
                <w:rtl w:val="0"/>
              </w:rPr>
            </w:r>
          </w:p>
        </w:tc>
        <w:tc>
          <w:tcPr/>
          <w:p w:rsidR="00000000" w:rsidDel="00000000" w:rsidP="00000000" w:rsidRDefault="00000000" w:rsidRPr="00000000" w14:paraId="00000005">
            <w:pPr>
              <w:spacing w:after="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03 October 2026</w:t>
            </w:r>
            <w:r w:rsidDel="00000000" w:rsidR="00000000" w:rsidRPr="00000000">
              <w:rPr>
                <w:rtl w:val="0"/>
              </w:rPr>
            </w:r>
          </w:p>
        </w:tc>
        <w:tc>
          <w:tcPr>
            <w:shd w:fill="f7fafc" w:val="clear"/>
            <w:vAlign w:val="center"/>
          </w:tcPr>
          <w:p w:rsidR="00000000" w:rsidDel="00000000" w:rsidP="00000000" w:rsidRDefault="00000000" w:rsidRPr="00000000" w14:paraId="00000006">
            <w:pPr>
              <w:spacing w:after="0" w:before="0" w:lineRule="auto"/>
              <w:rPr/>
            </w:pPr>
            <w:r w:rsidDel="00000000" w:rsidR="00000000" w:rsidRPr="00000000">
              <w:rPr>
                <w:rFonts w:ascii="Calibri" w:cs="Calibri" w:eastAsia="Calibri" w:hAnsi="Calibri"/>
                <w:b w:val="1"/>
                <w:bCs w:val="1"/>
                <w:color w:val="1a365d"/>
                <w:sz w:val="19"/>
                <w:szCs w:val="19"/>
                <w:rtl w:val="0"/>
              </w:rPr>
              <w:t xml:space="preserve">Team ID:</w:t>
            </w:r>
            <w:r w:rsidDel="00000000" w:rsidR="00000000" w:rsidRPr="00000000">
              <w:rPr>
                <w:rtl w:val="0"/>
              </w:rPr>
            </w:r>
          </w:p>
        </w:tc>
        <w:tc>
          <w:tcPr>
            <w:shd w:fill="f7fafc" w:val="clear"/>
            <w:vAlign w:val="cente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b w:val="0"/>
                <w:bCs w:val="0"/>
                <w:color w:val="2d3748"/>
                <w:sz w:val="19"/>
                <w:szCs w:val="19"/>
                <w:rtl w:val="0"/>
              </w:rPr>
              <w:t xml:space="preserve">SWTID-2026-9936</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b w:val="1"/>
                <w:bCs w:val="1"/>
                <w:color w:val="1a365d"/>
                <w:sz w:val="19"/>
                <w:szCs w:val="19"/>
                <w:rtl w:val="0"/>
              </w:rPr>
              <w:t xml:space="preserve">Project Name:</w:t>
            </w:r>
            <w:r w:rsidDel="00000000" w:rsidR="00000000" w:rsidRPr="00000000">
              <w:rPr>
                <w:rtl w:val="0"/>
              </w:rPr>
            </w:r>
          </w:p>
        </w:tc>
        <w:tc>
          <w:tcPr>
            <w:shd w:fill="f7fafc" w:val="clear"/>
            <w:vAlign w:val="cente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b w:val="0"/>
                <w:bCs w:val="0"/>
                <w:color w:val="2d3748"/>
                <w:sz w:val="19"/>
                <w:szCs w:val="19"/>
                <w:rtl w:val="0"/>
              </w:rPr>
              <w:t xml:space="preserve">Auto Ticket Classification using Flow Designer</w:t>
            </w:r>
            <w:r w:rsidDel="00000000" w:rsidR="00000000" w:rsidRPr="00000000">
              <w:rPr>
                <w:rtl w:val="0"/>
              </w:rPr>
            </w:r>
          </w:p>
        </w:tc>
        <w:tc>
          <w:tcPr>
            <w:shd w:fill="f7fafc" w:val="clear"/>
            <w:vAlign w:val="cente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b w:val="1"/>
                <w:bCs w:val="1"/>
                <w:color w:val="1a365d"/>
                <w:sz w:val="19"/>
                <w:szCs w:val="19"/>
                <w:rtl w:val="0"/>
              </w:rPr>
              <w:t xml:space="preserve">Max Marks:</w:t>
            </w:r>
            <w:r w:rsidDel="00000000" w:rsidR="00000000" w:rsidRPr="00000000">
              <w:rPr>
                <w:rtl w:val="0"/>
              </w:rPr>
            </w:r>
          </w:p>
        </w:tc>
        <w:tc>
          <w:tcPr>
            <w:shd w:fill="f7fafc" w:val="clear"/>
            <w:vAlign w:val="center"/>
          </w:tcPr>
          <w:p w:rsidR="00000000" w:rsidDel="00000000" w:rsidP="00000000" w:rsidRDefault="00000000" w:rsidRPr="00000000" w14:paraId="0000000B">
            <w:pPr>
              <w:spacing w:after="0" w:before="0" w:lineRule="auto"/>
              <w:rPr/>
            </w:pPr>
            <w:r w:rsidDel="00000000" w:rsidR="00000000" w:rsidRPr="00000000">
              <w:rPr>
                <w:rFonts w:ascii="Calibri" w:cs="Calibri" w:eastAsia="Calibri" w:hAnsi="Calibri"/>
                <w:b w:val="0"/>
                <w:bCs w:val="0"/>
                <w:color w:val="2d3748"/>
                <w:sz w:val="19"/>
                <w:szCs w:val="19"/>
                <w:rtl w:val="0"/>
              </w:rPr>
              <w:t xml:space="preserve">4 Marks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0C">
            <w:pPr>
              <w:spacing w:after="0" w:before="0" w:lineRule="auto"/>
              <w:rPr/>
            </w:pPr>
            <w:r w:rsidDel="00000000" w:rsidR="00000000" w:rsidRPr="00000000">
              <w:rPr>
                <w:rFonts w:ascii="Calibri" w:cs="Calibri" w:eastAsia="Calibri" w:hAnsi="Calibri"/>
                <w:b w:val="1"/>
                <w:bCs w:val="1"/>
                <w:color w:val="1a365d"/>
                <w:sz w:val="19"/>
                <w:szCs w:val="19"/>
                <w:rtl w:val="0"/>
              </w:rPr>
              <w:t xml:space="preserve">Team Lead:</w:t>
            </w:r>
            <w:r w:rsidDel="00000000" w:rsidR="00000000" w:rsidRPr="00000000">
              <w:rPr>
                <w:rtl w:val="0"/>
              </w:rPr>
            </w:r>
          </w:p>
        </w:tc>
        <w:tc>
          <w:tcPr>
            <w:shd w:fill="f7fafc" w:val="clear"/>
            <w:vAlign w:val="cente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b w:val="0"/>
                <w:bCs w:val="0"/>
                <w:color w:val="2d3748"/>
                <w:sz w:val="19"/>
                <w:szCs w:val="19"/>
                <w:rtl w:val="0"/>
              </w:rPr>
              <w:t xml:space="preserve">Pavithran B</w:t>
            </w:r>
            <w:r w:rsidDel="00000000" w:rsidR="00000000" w:rsidRPr="00000000">
              <w:rPr>
                <w:rtl w:val="0"/>
              </w:rPr>
            </w:r>
          </w:p>
        </w:tc>
        <w:tc>
          <w:tcPr>
            <w:shd w:fill="f7fafc" w:val="clear"/>
            <w:vAlign w:val="center"/>
          </w:tcPr>
          <w:p w:rsidR="00000000" w:rsidDel="00000000" w:rsidP="00000000" w:rsidRDefault="00000000" w:rsidRPr="00000000" w14:paraId="0000000E">
            <w:pPr>
              <w:spacing w:after="0" w:before="0" w:lineRule="auto"/>
              <w:rPr/>
            </w:pPr>
            <w:r w:rsidDel="00000000" w:rsidR="00000000" w:rsidRPr="00000000">
              <w:rPr>
                <w:rFonts w:ascii="Calibri" w:cs="Calibri" w:eastAsia="Calibri" w:hAnsi="Calibri"/>
                <w:b w:val="1"/>
                <w:bCs w:val="1"/>
                <w:color w:val="1a365d"/>
                <w:sz w:val="19"/>
                <w:szCs w:val="19"/>
                <w:rtl w:val="0"/>
              </w:rPr>
              <w:t xml:space="preserve">Team Members:</w:t>
            </w:r>
            <w:r w:rsidDel="00000000" w:rsidR="00000000" w:rsidRPr="00000000">
              <w:rPr>
                <w:rtl w:val="0"/>
              </w:rPr>
            </w:r>
          </w:p>
        </w:tc>
        <w:tc>
          <w:tcPr>
            <w:shd w:fill="f7fafc" w:val="clear"/>
            <w:vAlign w:val="center"/>
          </w:tcPr>
          <w:p w:rsidR="00000000" w:rsidDel="00000000" w:rsidP="00000000" w:rsidRDefault="00000000" w:rsidRPr="00000000" w14:paraId="0000000F">
            <w:pPr>
              <w:spacing w:after="0" w:before="0" w:lineRule="auto"/>
              <w:rPr/>
            </w:pPr>
            <w:r w:rsidDel="00000000" w:rsidR="00000000" w:rsidRPr="00000000">
              <w:rPr>
                <w:rFonts w:ascii="Calibri" w:cs="Calibri" w:eastAsia="Calibri" w:hAnsi="Calibri"/>
                <w:b w:val="0"/>
                <w:bCs w:val="0"/>
                <w:color w:val="2d3748"/>
                <w:sz w:val="19"/>
                <w:szCs w:val="19"/>
                <w:rtl w:val="0"/>
              </w:rPr>
              <w:t xml:space="preserve">Poovendhiran C R, Rajasekara Babu, Prabhakaran M, Vishnu Priyan</w:t>
            </w:r>
            <w:r w:rsidDel="00000000" w:rsidR="00000000" w:rsidRPr="00000000">
              <w:rPr>
                <w:rtl w:val="0"/>
              </w:rPr>
            </w:r>
          </w:p>
        </w:tc>
      </w:tr>
    </w:tbl>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Calibri" w:cs="Calibri" w:eastAsia="Calibri" w:hAnsi="Calibri"/>
          <w:b w:val="1"/>
          <w:bCs w:val="1"/>
          <w:color w:val="1a365d"/>
          <w:sz w:val="22"/>
          <w:szCs w:val="22"/>
          <w:rtl w:val="0"/>
        </w:rPr>
        <w:t xml:space="preserve">1. Solution Architecture Overview &amp; Goals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Calibri" w:cs="Calibri" w:eastAsia="Calibri" w:hAnsi="Calibri"/>
          <w:color w:val="2d3748"/>
          <w:sz w:val="19"/>
          <w:szCs w:val="19"/>
          <w:rtl w:val="0"/>
        </w:rPr>
        <w:t xml:space="preserve">Solution architecture bridges the gap between IT helpdesk operational problems and automated ServiceNow solutions. The primary goals of this architecture are to:</w:t>
        <w:br w:type="textWrapping"/>
        <w:t xml:space="preserve">• Find the best low-code automated solution to replace manual ticket triage and assignment.</w:t>
        <w:br w:type="textWrapping"/>
        <w:t xml:space="preserve">• Structure the workflow across presentation, data schema, workflow automation, and notification layers.</w:t>
        <w:br w:type="textWrapping"/>
        <w:t xml:space="preserve">• Define clear execution requirements, keyword-matching rules, and dependent choice field relationships.</w:t>
        <w:br w:type="textWrapping"/>
        <w:t xml:space="preserve">• Provide specifications according to which the solution is configured, validated, packaged, and deployed.</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Calibri" w:cs="Calibri" w:eastAsia="Calibri" w:hAnsi="Calibri"/>
          <w:b w:val="1"/>
          <w:bCs w:val="1"/>
          <w:color w:val="1a365d"/>
          <w:sz w:val="22"/>
          <w:szCs w:val="22"/>
          <w:rtl w:val="0"/>
        </w:rPr>
        <w:t xml:space="preserve">2. System Architecture Layers</w:t>
      </w:r>
      <w:r w:rsidDel="00000000" w:rsidR="00000000" w:rsidRPr="00000000">
        <w:rPr>
          <w:rtl w:val="0"/>
        </w:rPr>
      </w:r>
    </w:p>
    <w:tbl>
      <w:tblPr>
        <w:tblStyle w:val="Table2"/>
        <w:tblW w:w="10800.0" w:type="dxa"/>
        <w:jc w:val="center"/>
        <w:tblLayout w:type="fixed"/>
        <w:tblLook w:val="0400"/>
      </w:tblPr>
      <w:tblGrid>
        <w:gridCol w:w="5400"/>
        <w:gridCol w:w="5400"/>
        <w:tblGridChange w:id="0">
          <w:tblGrid>
            <w:gridCol w:w="5400"/>
            <w:gridCol w:w="5400"/>
          </w:tblGrid>
        </w:tblGridChange>
      </w:tblGrid>
      <w:tr>
        <w:trPr>
          <w:cantSplit w:val="0"/>
          <w:tblHeader w:val="0"/>
        </w:trPr>
        <w:tc>
          <w:tcPr>
            <w:shd w:fill="1a365d" w:val="cle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1"/>
                <w:bCs w:val="1"/>
                <w:color w:val="ffffff"/>
                <w:sz w:val="20"/>
                <w:szCs w:val="20"/>
                <w:rtl w:val="0"/>
              </w:rPr>
              <w:t xml:space="preserve">Architecture Layer</w:t>
            </w:r>
            <w:r w:rsidDel="00000000" w:rsidR="00000000" w:rsidRPr="00000000">
              <w:rPr>
                <w:rtl w:val="0"/>
              </w:rPr>
            </w:r>
          </w:p>
        </w:tc>
        <w:tc>
          <w:tcPr>
            <w:shd w:fill="1a365d" w:val="cle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ffffff"/>
                <w:sz w:val="20"/>
                <w:szCs w:val="20"/>
                <w:rtl w:val="0"/>
              </w:rPr>
              <w:t xml:space="preserve">Components &amp; Responsibilities</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a365d"/>
                <w:sz w:val="19"/>
                <w:szCs w:val="19"/>
                <w:rtl w:val="0"/>
              </w:rPr>
              <w:t xml:space="preserve">User Interface Layer</w:t>
              <w:br w:type="textWrapping"/>
              <w:t xml:space="preserve">(Presentation)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Calibri" w:cs="Calibri" w:eastAsia="Calibri" w:hAnsi="Calibri"/>
                <w:color w:val="2d3748"/>
                <w:sz w:val="18"/>
                <w:szCs w:val="18"/>
                <w:rtl w:val="0"/>
              </w:rPr>
              <w:t xml:space="preserve">ServiceNow Service Portal &amp; Standard Incident Form (u_incident_workflow). Allows callers (students, faculty) to enter ticket details, caller name, short description, and issue description.</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a365d"/>
                <w:sz w:val="19"/>
                <w:szCs w:val="19"/>
                <w:rtl w:val="0"/>
              </w:rPr>
              <w:t xml:space="preserve">Data &amp; Schema Layer</w:t>
              <w:br w:type="textWrapping"/>
              <w:t xml:space="preserve">(Table &amp; Dictionary)</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Fonts w:ascii="Calibri" w:cs="Calibri" w:eastAsia="Calibri" w:hAnsi="Calibri"/>
                <w:color w:val="2d3748"/>
                <w:sz w:val="18"/>
                <w:szCs w:val="18"/>
                <w:rtl w:val="0"/>
              </w:rPr>
              <w:t xml:space="preserve">Custom Table Schema containing Number, Caller, Category, Subcategory, Short Description, Description, State, Assigned Group, and Assigned To. Dependent choice dictionary attributes map Subcategory options dynamically based on the selected Category.</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1a365d"/>
                <w:sz w:val="19"/>
                <w:szCs w:val="19"/>
                <w:rtl w:val="0"/>
              </w:rPr>
              <w:t xml:space="preserve">Workflow &amp; Logic Engine</w:t>
              <w:br w:type="textWrapping"/>
              <w:t xml:space="preserve">(Flow Designer)</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color w:val="2d3748"/>
                <w:sz w:val="18"/>
                <w:szCs w:val="18"/>
                <w:rtl w:val="0"/>
              </w:rPr>
              <w:t xml:space="preserve">Trigger: Record Creation on Incident Workflow Table when Category is empty.</w:t>
              <w:br w:type="textWrapping"/>
              <w:t xml:space="preserve">Rules Execution:</w:t>
              <w:br w:type="textWrapping"/>
              <w:t xml:space="preserve">  - Network Rule: 'Wi-Fi' / 'Network' -&gt; Category: Network, Subcategory: Wi-Fi</w:t>
              <w:br w:type="textWrapping"/>
              <w:t xml:space="preserve">  - Hardware Rule: 'Projector' -&gt; Category: Hardware, Subcategory: Projector</w:t>
              <w:br w:type="textWrapping"/>
              <w:t xml:space="preserve">  - Access Rule: 'Password' -&gt; Category: Access, Subcategory: Forgot Password</w:t>
              <w:br w:type="textWrapping"/>
              <w:t xml:space="preserve">  - Performance Rule: 'Slow' -&gt; Category: Performance, Subcategory: Slow Computer</w:t>
            </w:r>
            <w:r w:rsidDel="00000000" w:rsidR="00000000" w:rsidRPr="00000000">
              <w:rPr>
                <w:rtl w:val="0"/>
              </w:rPr>
            </w:r>
          </w:p>
        </w:tc>
      </w:tr>
      <w:tr>
        <w:trPr>
          <w:cantSplit w:val="0"/>
          <w:tblHeader w:val="0"/>
        </w:trPr>
        <w:tc>
          <w:tcPr>
            <w:shd w:fill="f7fafc" w:val="cle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a365d"/>
                <w:sz w:val="19"/>
                <w:szCs w:val="19"/>
                <w:rtl w:val="0"/>
              </w:rPr>
              <w:t xml:space="preserve">Communication Layer</w:t>
              <w:br w:type="textWrapping"/>
              <w:t xml:space="preserve">(Notification Engine)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color w:val="2d3748"/>
                <w:sz w:val="18"/>
                <w:szCs w:val="18"/>
                <w:rtl w:val="0"/>
              </w:rPr>
              <w:t xml:space="preserve">ServiceNow Notification Engine triggers automated email dispatch ('Your Request for the issue has been submitted.') to the caller's registered email immediately upon ticket creation.</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1"/>
          <w:bCs w:val="1"/>
          <w:color w:val="1a365d"/>
          <w:sz w:val="22"/>
          <w:szCs w:val="22"/>
          <w:rtl w:val="0"/>
        </w:rPr>
        <w:t xml:space="preserve">3. End-to-End Data Flow Sequence</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color w:val="2d3748"/>
          <w:sz w:val="19"/>
          <w:szCs w:val="19"/>
          <w:rtl w:val="0"/>
        </w:rPr>
        <w:t xml:space="preserve">Step 1: Ticket Submission — Caller fills out Short Description on the Incident Workflow Form and clicks Submit.</w:t>
        <w:br w:type="textWrapping"/>
        <w:t xml:space="preserve">Step 2: Flow Trigger Execution — Flow Designer detects Record Creation event on table `u_incident_workflow` where Category is empty.</w:t>
        <w:br w:type="textWrapping"/>
        <w:t xml:space="preserve">Step 3: Keyword Rule Parsing — Flow Designer evaluates the Short Description string against configured decision rules.</w:t>
        <w:br w:type="textWrapping"/>
        <w:t xml:space="preserve">Step 4: Field Auto-Population — Category and Subcategory fields are automatically updated, activating dependent choice choices.</w:t>
        <w:br w:type="textWrapping"/>
        <w:t xml:space="preserve">Step 5: Notification Dispatch — ServiceNow Notification Engine generates an email record logged under System Logs -&gt; Emails.</w:t>
        <w:br w:type="textWrapping"/>
        <w:t xml:space="preserve">Step 6: Confirmation Delivery — Instant confirmation email delivered to the caller's inbox with reference tracking.</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1"/>
          <w:bCs w:val="1"/>
          <w:color w:val="1a365d"/>
          <w:sz w:val="22"/>
          <w:szCs w:val="22"/>
          <w:rtl w:val="0"/>
        </w:rPr>
        <w:t xml:space="preserve">4. Deployment &amp; Migration Architecture</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Calibri" w:cs="Calibri" w:eastAsia="Calibri" w:hAnsi="Calibri"/>
          <w:color w:val="2d3748"/>
          <w:sz w:val="19"/>
          <w:szCs w:val="19"/>
          <w:rtl w:val="0"/>
        </w:rPr>
        <w:t xml:space="preserve">All table dictionary entries, Flow Designer rules, choice lists, and notification actions are isolated in a local Update Set (`Project Update Set`). Once testing and validation scenarios confirm expected behavior, the Update Set state is changed from 'In Progress' to 'Complete' and exported as an XML payload for seamless deployment across production ServiceNow instances.</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54zu1gFnumBDjKkCd6wO/oxWzQ==">CgMxLjA4AHIhMUVzUjBMSWl2SmJSNTIzeEEzNWZuZ3M5akNDZTNMbmhm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