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29 September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SWTID-2026-1474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AI Study Buddy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/>
    <w:p>
      <w:r>
        <w:t>The technology stack below is written at the project level; exact versions should match the technologies used in the submitted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User Interface</w:t>
            </w:r>
          </w:p>
        </w:tc>
        <w:tc>
          <w:tcPr>
            <w:tcW w:type="dxa" w:w="2520"/>
          </w:tcPr>
          <w:p>
            <w:r>
              <w:t>Web interface for student interaction</w:t>
            </w:r>
          </w:p>
        </w:tc>
        <w:tc>
          <w:tcPr>
            <w:tcW w:type="dxa" w:w="2520"/>
          </w:tcPr>
          <w:p>
            <w:r>
              <w:t>HTML, CSS, JavaScript / React if used in implementation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Application Logic</w:t>
            </w:r>
          </w:p>
        </w:tc>
        <w:tc>
          <w:tcPr>
            <w:tcW w:type="dxa" w:w="2520"/>
          </w:tcPr>
          <w:p>
            <w:r>
              <w:t>Processes user requests and application flow</w:t>
            </w:r>
          </w:p>
        </w:tc>
        <w:tc>
          <w:tcPr>
            <w:tcW w:type="dxa" w:w="2520"/>
          </w:tcPr>
          <w:p>
            <w:r>
              <w:t>JavaScript / Node.js or the backend actually used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AI Integration</w:t>
            </w:r>
          </w:p>
        </w:tc>
        <w:tc>
          <w:tcPr>
            <w:tcW w:type="dxa" w:w="2520"/>
          </w:tcPr>
          <w:p>
            <w:r>
              <w:t>Connects the application with AI capabilities</w:t>
            </w:r>
          </w:p>
        </w:tc>
        <w:tc>
          <w:tcPr>
            <w:tcW w:type="dxa" w:w="2520"/>
          </w:tcPr>
          <w:p>
            <w:r>
              <w:t>AI/LLM API used by the project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Database</w:t>
            </w:r>
          </w:p>
        </w:tc>
        <w:tc>
          <w:tcPr>
            <w:tcW w:type="dxa" w:w="2520"/>
          </w:tcPr>
          <w:p>
            <w:r>
              <w:t>Stores application data if required</w:t>
            </w:r>
          </w:p>
        </w:tc>
        <w:tc>
          <w:tcPr>
            <w:tcW w:type="dxa" w:w="2520"/>
          </w:tcPr>
          <w:p>
            <w:r>
              <w:t>Database used in implementation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External API</w:t>
            </w:r>
          </w:p>
        </w:tc>
        <w:tc>
          <w:tcPr>
            <w:tcW w:type="dxa" w:w="2520"/>
          </w:tcPr>
          <w:p>
            <w:r>
              <w:t>External service used for AI or other functionality</w:t>
            </w:r>
          </w:p>
        </w:tc>
        <w:tc>
          <w:tcPr>
            <w:tcW w:type="dxa" w:w="2520"/>
          </w:tcPr>
          <w:p>
            <w:r>
              <w:t>Configured API service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Machine Learning Model</w:t>
            </w:r>
          </w:p>
        </w:tc>
        <w:tc>
          <w:tcPr>
            <w:tcW w:type="dxa" w:w="2520"/>
          </w:tcPr>
          <w:p>
            <w:r>
              <w:t>AI generation / study assistance</w:t>
            </w:r>
          </w:p>
        </w:tc>
        <w:tc>
          <w:tcPr>
            <w:tcW w:type="dxa" w:w="2520"/>
          </w:tcPr>
          <w:p>
            <w:r>
              <w:t>Configured AI/LLM model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Infrastructure</w:t>
            </w:r>
          </w:p>
        </w:tc>
        <w:tc>
          <w:tcPr>
            <w:tcW w:type="dxa" w:w="2520"/>
          </w:tcPr>
          <w:p>
            <w:r>
              <w:t>Runs the application</w:t>
            </w:r>
          </w:p>
        </w:tc>
        <w:tc>
          <w:tcPr>
            <w:tcW w:type="dxa" w:w="2520"/>
          </w:tcPr>
          <w:p>
            <w:r>
              <w:t>Local development environment / deployment environment</w:t>
            </w:r>
          </w:p>
        </w:tc>
      </w:tr>
    </w:tbl>
    <w:p>
      <w:r>
        <w:rPr>
          <w:b/>
          <w:sz w:val="24"/>
        </w:rPr>
        <w:t>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Characteristic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t>Open-Source Frameworks</w:t>
            </w:r>
          </w:p>
        </w:tc>
        <w:tc>
          <w:tcPr>
            <w:tcW w:type="dxa" w:w="5040"/>
          </w:tcPr>
          <w:p>
            <w:r>
              <w:t>Frameworks/libraries used by the actual implementation.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Input validation and safe handling of application/API credentials.</w:t>
            </w:r>
          </w:p>
        </w:tc>
      </w:tr>
      <w:tr>
        <w:tc>
          <w:tcPr>
            <w:tcW w:type="dxa" w:w="5040"/>
          </w:tcPr>
          <w:p>
            <w:r>
              <w:t>Scalable Architecture</w:t>
            </w:r>
          </w:p>
        </w:tc>
        <w:tc>
          <w:tcPr>
            <w:tcW w:type="dxa" w:w="5040"/>
          </w:tcPr>
          <w:p>
            <w:r>
              <w:t>Separate UI, application logic and AI service layers allow future expansion.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Depends on the application and external AI service availability.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Minimize unnecessary API requests and keep the interface responsive.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