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pPr/>
      <w:r>
        <w:t>К договору № {{contract.number}} от {{contract.date}}. Версия {{spec.version}} от {{spec.date}}. Исполнитель {{owner.full_name}} и Заказчик {{client.name}} согласовали следующее.</w:t>
      </w:r>
    </w:p>
    <w:p>
      <w:pPr>
        <w:pStyle w:val="Heading2"/>
      </w:pPr>
      <w:r>
        <w:t>1 Результат и границы</w:t>
      </w:r>
    </w:p>
    <w:p>
      <w:pPr>
        <w:spacing w:line="288" w:lineRule="auto"/>
      </w:pPr>
      <w:r>
        <w:t>Название и назначение продукта {{project.name}}</w:t>
      </w:r>
    </w:p>
    <w:p>
      <w:pPr>
        <w:spacing w:line="288" w:lineRule="auto"/>
      </w:pPr>
      <w:r>
        <w:t>Тип продукта и целевая аудитория {{project.type}}</w:t>
      </w:r>
    </w:p>
    <w:p>
      <w:pPr>
        <w:spacing w:line="288" w:lineRule="auto"/>
      </w:pPr>
      <w:r>
        <w:t>Страницы экраны роли и функции {{spec.functions}}</w:t>
      </w:r>
    </w:p>
    <w:p>
      <w:pPr>
        <w:spacing w:line="288" w:lineRule="auto"/>
      </w:pPr>
      <w:r>
        <w:t>Сценарии и критерии успешности {{spec.acceptance_criteria}}</w:t>
      </w:r>
    </w:p>
    <w:p>
      <w:pPr>
        <w:spacing w:line="288" w:lineRule="auto"/>
      </w:pPr>
      <w:r>
        <w:t>Интеграции и ограничения {{spec.integrations}}</w:t>
      </w:r>
    </w:p>
    <w:p>
      <w:pPr>
        <w:spacing w:line="288" w:lineRule="auto"/>
      </w:pPr>
      <w:r>
        <w:t>Размещение домен и техническая среда {{spec.hosting}}</w:t>
      </w:r>
    </w:p>
    <w:p>
      <w:pPr>
        <w:spacing w:line="288" w:lineRule="auto"/>
      </w:pPr>
      <w:r>
        <w:t>Согласованные исключения {{spec.exclusions}}</w:t>
      </w:r>
    </w:p>
    <w:p>
      <w:pPr>
        <w:pStyle w:val="Heading2"/>
      </w:pPr>
      <w:r>
        <w:t>2 Материалы и права</w:t>
      </w:r>
    </w:p>
    <w:p>
      <w:pPr>
        <w:spacing w:line="288" w:lineRule="auto"/>
      </w:pPr>
      <w:r>
        <w:t>Материалы Заказчика срок и способ передачи {{spec.client_materials}}</w:t>
      </w:r>
    </w:p>
    <w:p>
      <w:pPr>
        <w:spacing w:line="288" w:lineRule="auto"/>
      </w:pPr>
      <w:r>
        <w:t>Создаваемые охраняемые результаты {{spec.ip_results}}</w:t>
      </w:r>
    </w:p>
    <w:p>
      <w:pPr>
        <w:spacing w:line="288" w:lineRule="auto"/>
      </w:pPr>
      <w:r>
        <w:t>Предшествующие и сторонние компоненты и лицензии {{spec.dependencies}}</w:t>
      </w:r>
    </w:p>
    <w:p>
      <w:pPr>
        <w:spacing w:line="288" w:lineRule="auto"/>
      </w:pPr>
      <w:r>
        <w:t>Применение ИИ ограничения и контроль {{spec.ai_scope}}</w:t>
      </w:r>
    </w:p>
    <w:p>
      <w:pPr>
        <w:pStyle w:val="Heading2"/>
      </w:pPr>
      <w:r>
        <w:t>3 Этапы и календарь</w:t>
      </w:r>
    </w:p>
    <w:p>
      <w:pPr>
        <w:spacing w:line="288" w:lineRule="auto"/>
      </w:pPr>
      <w:r>
        <w:t>График этапов {{spec.milestones}}</w:t>
      </w:r>
    </w:p>
    <w:p>
      <w:pPr>
        <w:pStyle w:val="Heading2"/>
      </w:pPr>
      <w:r>
        <w:t>4 Платежи</w:t>
      </w:r>
    </w:p>
    <w:p>
      <w:pPr/>
      <w:r>
        <w:t>Общая цена {{price.total}} рублей. Вознаграждение за передаваемые права {{price.rights_fee}} рублей включено в цену.</w:t>
      </w:r>
    </w:p>
    <w:p>
      <w:pPr/>
      <w:r>
        <w:t>Первый платёж {{payment.initial_amount}} до {{payment.initial_due}}. Последующие платежи {{payment.schedule}}. Окончательный платёж {{payment.final_amount}} до {{payment.final_due}}. Расходы на домен, хостинг, API и подписки: {{spec.recurring_costs}}, плательщик {{spec.cost_payer}}.</w:t>
      </w:r>
    </w:p>
    <w:p>
      <w:pPr>
        <w:pStyle w:val="Heading2"/>
      </w:pPr>
      <w:r>
        <w:t>5 Проверка и замечания</w:t>
      </w:r>
    </w:p>
    <w:p>
      <w:pPr>
        <w:spacing w:line="288" w:lineRule="auto"/>
      </w:pPr>
      <w:r>
        <w:t>Тестовая среда и набор контрольных сценариев {{spec.test_plan}}</w:t>
      </w:r>
    </w:p>
    <w:p>
      <w:pPr>
        <w:spacing w:line="288" w:lineRule="auto"/>
      </w:pPr>
      <w:r>
        <w:t>Версия или способ её фиксации {{spec.version_method}}</w:t>
      </w:r>
    </w:p>
    <w:p>
      <w:pPr>
        <w:spacing w:line="288" w:lineRule="auto"/>
      </w:pPr>
      <w:r>
        <w:t>Срок приёмки в рабочих днях {{acceptance.business_days}}</w:t>
      </w:r>
    </w:p>
    <w:p>
      <w:pPr>
        <w:spacing w:line="288" w:lineRule="auto"/>
      </w:pPr>
      <w:r>
        <w:t>Включённые творческие правки и раунды {{spec.revision_rounds}}</w:t>
      </w:r>
    </w:p>
    <w:p>
      <w:pPr/>
      <w:r>
        <w:t>Подтверждённые несоответствия ТЗ исправляются без отдельной оплаты и не расходуют раунды творческих правок. Новые функции выполняются только после согласования изменения задания. Ограничения ИИ и сценарии контроля человеком: {{spec.ai_controls}}.</w:t>
      </w:r>
    </w:p>
    <w:p>
      <w:pPr>
        <w:pStyle w:val="Heading2"/>
      </w:pPr>
      <w:r>
        <w:t>6 Порядок финального запуска</w:t>
      </w:r>
    </w:p>
    <w:p>
      <w:pPr>
        <w:spacing w:line="288" w:lineRule="auto"/>
      </w:pPr>
      <w:r>
        <w:t>Последовательность приёмки оплаты запуска и передачи {{spec.release_sequence}}</w:t>
      </w:r>
    </w:p>
    <w:p>
      <w:pPr>
        <w:spacing w:line="288" w:lineRule="auto"/>
      </w:pPr>
      <w:r>
        <w:t>Ответственный за домен хостинг и сторонние аккаунты {{spec.accounts_owner}}</w:t>
      </w:r>
    </w:p>
    <w:p>
      <w:pPr>
        <w:spacing w:line="288" w:lineRule="auto"/>
      </w:pPr>
      <w:r>
        <w:t>Перечень исходников репозиториев инструкций и резервных копий {{spec.handover}}</w:t>
      </w:r>
    </w:p>
    <w:p>
      <w:pPr>
        <w:spacing w:line="288" w:lineRule="auto"/>
      </w:pPr>
      <w:r>
        <w:t>Проверки после публикации и порядок восстановления {{spec.production_checks}}</w:t>
      </w:r>
    </w:p>
    <w:p>
      <w:pPr/>
      <w:r>
        <w:t>Публичная ссылка, перечень файлов или ссылка на репозиторий фиксируются в акте. Пароли и ключи в документ не включаются. Передача доступов выполняется через согласованный защищённый канал.</w:t>
      </w:r>
    </w:p>
    <w:p>
      <w:pPr>
        <w:pStyle w:val="Heading2"/>
      </w:pPr>
      <w:r>
        <w:t>7 Поддержка и кабинет</w:t>
      </w:r>
    </w:p>
    <w:p>
      <w:pPr>
        <w:spacing w:line="288" w:lineRule="auto"/>
      </w:pPr>
      <w:r>
        <w:t>Событие начала поддержки {{support.start_event}}</w:t>
      </w:r>
    </w:p>
    <w:p>
      <w:pPr>
        <w:spacing w:line="288" w:lineRule="auto"/>
      </w:pPr>
      <w:r>
        <w:t>Продолжительность и дата окончания {{support.duration}} {{support.end_date}}</w:t>
      </w:r>
    </w:p>
    <w:p>
      <w:pPr>
        <w:spacing w:line="288" w:lineRule="auto"/>
      </w:pPr>
      <w:r>
        <w:t>Объём поддержки время реакции и режим связи {{support.scope}}</w:t>
      </w:r>
    </w:p>
    <w:p>
      <w:pPr>
        <w:spacing w:line="288" w:lineRule="auto"/>
      </w:pPr>
      <w:r>
        <w:t>Канал обращений и контакты после закрытия кабинета {{support.contacts}}</w:t>
      </w:r>
    </w:p>
    <w:p>
      <w:pPr/>
      <w:r>
        <w:t>Продление и приостановление автоматического закрытия фиксируются в заказе. Открытая претензия, непереданный результат или согласованный неустранённый недостаток рассматриваются до закрытия доступа. Законные требования могут предъявляться и после договорной поддержки.</w:t>
      </w:r>
    </w:p>
    <w:p>
      <w:pPr>
        <w:pStyle w:val="Heading2"/>
      </w:pPr>
      <w:r>
        <w:t>8 Утверждение</w:t>
      </w:r>
    </w:p>
    <w:p>
      <w:pPr/>
      <w:r>
        <w:t>Исполнитель __________________ / {{owner.full_name}} / Дата __________</w:t>
      </w:r>
    </w:p>
    <w:p>
      <w:pPr/>
      <w:r>
        <w:t>Заказчик __________________ / {{client.signatory}} / Дата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080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odel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36"/>
      </w:rPr>
      <w:t xml:space="preserve">  НейроДело</w:t>
    </w:r>
    <w:r>
      <w:rPr>
        <w:b/>
        <w:color w:val="FF3DA6"/>
        <w:sz w:val="36"/>
      </w:rPr>
      <w:t>.</w:t>
    </w:r>
    <w:r>
      <w:rPr>
        <w:color w:val="596273"/>
        <w:sz w:val="20"/>
      </w:rPr>
      <w:t xml:space="preserve">    neurodelo.pro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80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/>
  <dc:creator>НейроДело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