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разработки цифрового продукта</w:t>
      </w:r>
    </w:p>
    <w:p>
      <w:pPr>
        <w:spacing w:line="288" w:lineRule="auto"/>
      </w:pPr>
      <w:r>
        <w:t>Договор № {{contract.number}} • г. {{contract.city}} • {{contract.date}}</w:t>
      </w:r>
    </w:p>
    <w:p>
      <w:pPr/>
      <w:r>
        <w:t>{{owner.full_name}}, ИНН {{owner.inn}}, применяющая специальный налоговый режим «Налог на профессиональный доход», осуществляющая деятельность под обозначением «НейроДело», далее «Исполнитель», и {{client.legal_description}}, далее «Заказчик», заключили договор о нижеследующем.</w:t>
      </w:r>
    </w:p>
    <w:p>
      <w:pPr>
        <w:pStyle w:val="Heading2"/>
      </w:pPr>
      <w:r>
        <w:t>1 Предмет и состав результата</w:t>
      </w:r>
    </w:p>
    <w:p>
      <w:pPr/>
      <w:r>
        <w:t>1.1. Исполнитель обязуется разработать и передать цифровой продукт {{project.name}}: сайт, веб-приложение, мини-приложение, программный бот, ИИ-агент или интеграцию, определённые в подписанном Приложении № 1. Заказчик обязуется принять и оплатить согласованный результат.</w:t>
      </w:r>
    </w:p>
    <w:p>
      <w:pPr/>
      <w:r>
        <w:t>1.2. Приложение № 1 определяет функции, экраны, интеграции, среду размещения, результаты этапов, исходные материалы, исключения, сроки, стоимость, порядок передачи и измеримые критерии приёмки. Изменение задания оформляется согласованным изменением с оценкой влияния на цену и сроки.</w:t>
      </w:r>
    </w:p>
    <w:p>
      <w:pPr/>
      <w:r>
        <w:t>1.3. Исполнитель может применять ИИ и инструменты автоматизации, проверяя результат перед передачей. Их использование не освобождает от согласованных обязательств. Не гарантируются продажи, прибыль, позиции в поиске, безошибочность внешних ИИ-моделей или бесперебойная работа неподконтрольных сервисов. Если продукт содержит ИИ, сценарии контроля, ограничения и участие человека задаются в ТЗ.</w:t>
      </w:r>
    </w:p>
    <w:p>
      <w:pPr>
        <w:pStyle w:val="Heading2"/>
      </w:pPr>
      <w:r>
        <w:t>2 Сроки и взаимодействие</w:t>
      </w:r>
    </w:p>
    <w:p>
      <w:pPr/>
      <w:r>
        <w:t>2.1. Дата начала, срок каждого этапа и конечный срок указываются в ТЗ. Начало связано с согласованием ТЗ, поступлением предусмотренного платежа и получением перечисленных обязательных материалов. При задержке исходных условий Исполнитель уведомляет Заказчика и фиксирует обновлённый график.</w:t>
      </w:r>
    </w:p>
    <w:p>
      <w:pPr/>
      <w:r>
        <w:t>2.2. Заказчик предоставляет согласованные материалы и доступы законным способом. Исполнитель сообщает, каких данных не хватает, на какие работы это влияет и на какой период требуется перенос. Перенос не применяется к работам, которые могут продолжаться независимо от задержки.</w:t>
      </w:r>
    </w:p>
    <w:p>
      <w:pPr/>
      <w:r>
        <w:t>2.3. Согласования осуществляют уполномоченные лица через указанные в реквизитах каналы. Стороны сохраняют версии файлов и историю решений. Новая функция не считается включённой в цену до согласования изменения. Необходимое исправление несоответствия ТЗ не является новой функцией.</w:t>
      </w:r>
    </w:p>
    <w:p>
      <w:pPr>
        <w:pStyle w:val="Heading2"/>
      </w:pPr>
      <w:r>
        <w:t>3 Стоимость и расчёты</w:t>
      </w:r>
    </w:p>
    <w:p>
      <w:pPr/>
      <w:r>
        <w:t>3.1. Общая цена составляет {{price.total}} рублей ({{price.words}}), включая вознаграждение за передаваемые права в размере {{price.rights_fee}} рублей. Если права распределяются по этапам, стоимость указывается для каждого этапа. Услуги и работы Исполнителя в рамках НПД НДС не облагаются, кроме случаев, прямо предусмотренных законом.</w:t>
      </w:r>
    </w:p>
    <w:p>
      <w:pPr/>
      <w:r>
        <w:t>3.2. Суммы, основания и сроки авансовых, этапных и окончательного платежей определяются графиком в ТЗ. Сумма платежей должна совпадать с общей ценой. Схема 50/50 применяется только при её прямом согласовании. Реквизиты и назначение платежа предоставляет Исполнитель.</w:t>
      </w:r>
    </w:p>
    <w:p>
      <w:pPr/>
      <w:r>
        <w:t>3.3. Платёж подтверждается фактическим поступлением средств. Заявление Заказчика «Я оплатил» и присланный скриншот сами по себе не подтверждают поступление. Исполнитель учитывает частичные платежи и сообщает о расхождениях.</w:t>
      </w:r>
    </w:p>
    <w:p>
      <w:pPr/>
      <w:r>
        <w:t>3.4. Исполнитель формирует и передаёт официальный чек НПД на каждое полученное поступление, включая аванс, в установленный законом срок. При наличных расчётах и использовании электронных средств платежа — в момент расчёта; при иных безналичных расчётах — не позднее 9-го числа следующего месяца. В итоговом чеке отражается только новое поступление, без повторного учёта аванса. Заказчик — ИП или организация сообщает ИНН для чека.</w:t>
      </w:r>
    </w:p>
    <w:p>
      <w:pPr/>
      <w:r>
        <w:t>3.5. Чек выдаётся через «Мой налог» либо уполномоченный сервис. Счёт и акт не заменяют чек. Об утрате статуса НПД Исполнитель незамедлительно сообщает Заказчику; дальнейшие расчёты согласуются с учётом применимых правил. Хостинг, домен, API и подписки оплачиваются согласно ТЗ.</w:t>
      </w:r>
    </w:p>
    <w:p>
      <w:pPr>
        <w:pStyle w:val="Heading2"/>
      </w:pPr>
      <w:r>
        <w:t>4 Сдача и приёмка</w:t>
      </w:r>
    </w:p>
    <w:p>
      <w:pPr/>
      <w:r>
        <w:t>4.1. Исполнитель направляет уведомление о готовности, ссылку на проверяемую версию, перечень результатов и проект акта. Публикация на основном домене и передача доступов выполняются в последовательности, установленной ТЗ.</w:t>
      </w:r>
    </w:p>
    <w:p>
      <w:pPr/>
      <w:r>
        <w:t>4.2. В течение {{acceptance.business_days}} рабочих дней после получения полного комплекта Заказчик подтверждает приёмку либо направляет замечания с описанием несоответствия согласованным критериям. Первоначальный список не исключает требований по скрытым недостаткам и иных прав по закону.</w:t>
      </w:r>
    </w:p>
    <w:p>
      <w:pPr/>
      <w:r>
        <w:t>4.3. Исполнитель рассматривает замечания, исправляет подтверждённые несоответствия в согласованный срок и повторно передаёт результат на проверку. Дополнительные пожелания оцениваются отдельно. Лимит творческих правок не ограничивает устранение недостатков.</w:t>
      </w:r>
    </w:p>
    <w:p>
      <w:pPr/>
      <w:r>
        <w:t>4.4. Молчание, истечение срока ответа и один только факт открытия ссылки не считаются автоматической приёмкой. При отсутствии ответа Исполнитель направляет напоминание и согласует дальнейшие действия. Чек на поступившие деньги оформляется независимо от подписания акта.</w:t>
      </w:r>
    </w:p>
    <w:p>
      <w:pPr>
        <w:pStyle w:val="Heading2"/>
      </w:pPr>
      <w:r>
        <w:t>5 Интеллектуальные права</w:t>
      </w:r>
    </w:p>
    <w:p>
      <w:pPr/>
      <w:r>
        <w:t>5.1. Перечень созданных для Заказчика охраняемых результатов и их идентификация указываются в ТЗ и акте: исходники, дизайн, тексты и другие материалы. В отношении принадлежащих Исполнителю исключительных прав стороны согласуют их отчуждение Заказчику в полном объёме с момента полной оплаты соответствующего результата и его передачи, если в ТЗ не установлена иная согласованная модель. Вознаграждение определено в пункте 3.1 и ТЗ.</w:t>
      </w:r>
    </w:p>
    <w:p>
      <w:pPr/>
      <w:r>
        <w:t>5.2. До перехода прав Заказчик вправе использовать демонстрационную версию для согласованного тестирования. Ранее созданные библиотеки и инструменты Исполнителя, стороннее ПО, шрифты, изображения, модели и сервисы не отчуждаются как собственные исключительные права Исполнителя. Их перечень, лицензии, ограничения и предоставляемые права использования фиксируются в ТЗ и передаче.</w:t>
      </w:r>
    </w:p>
    <w:p>
      <w:pPr/>
      <w:r>
        <w:t>5.3. Исполнитель не обещает исключительное право на элементы, на которые оно у него отсутствует, включая неохраняемые результаты автоматической генерации. Личные неимущественные права автора не отчуждаются.</w:t>
      </w:r>
    </w:p>
    <w:p>
      <w:pPr/>
      <w:r>
        <w:t>5.4. Заказчик обеспечивает законность переданных им материалов и разрешений. При выявлении проблемы Исполнитель сообщает о ней и согласует замену. Ни одна сторона не вправе требовать нарушения прав третьих лиц.</w:t>
      </w:r>
    </w:p>
    <w:p>
      <w:pPr/>
      <w:r>
        <w:t>5.5. Публикация работы, скриншотов, названия компании, логотипа и отзыва в портфолио или рекламе возможна только в согласованных пределах отдельного разрешения. Отказ не влияет на выполнение договора, передачу и поддержку.</w:t>
      </w:r>
    </w:p>
    <w:p>
      <w:pPr>
        <w:pStyle w:val="Heading2"/>
      </w:pPr>
      <w:r>
        <w:t>6 Передача и поддержка</w:t>
      </w:r>
    </w:p>
    <w:p>
      <w:pPr/>
      <w:r>
        <w:t>6.1. В согласованный момент Исполнитель передаёт комплект из ТЗ: работоспособную версию, исходники или репозиторий, инструкции, сведения о размещении, лицензиях и продлении сервисов. Проверяются основной домен и ключевые сценарии. Секреты передаются защищённо, временные доступы отзываются. Передача подтверждается актом или отдельным перечнем.</w:t>
      </w:r>
    </w:p>
    <w:p>
      <w:pPr/>
      <w:r>
        <w:t>6.2. Срок договорной поддержки: {{support.duration}}; начало: {{support.start_event}}. Объём, канал связи, время реакции и порядок исправлений устанавливаются в ТЗ. Новое развитие и изменение внешних сервисов рассматриваются отдельно, если это не исправление недостатка исполнения.</w:t>
      </w:r>
    </w:p>
    <w:p>
      <w:pPr/>
      <w:r>
        <w:t>6.3. Окончание договорной поддержки не прекращает предусмотренные законом права и обязанности сторон, в том числе применимые требования о недостатках. Домен, хостинг и внешние подписки по возможности оформляются на Заказчика.</w:t>
      </w:r>
    </w:p>
    <w:p>
      <w:pPr>
        <w:pStyle w:val="Heading2"/>
      </w:pPr>
      <w:r>
        <w:t>7 Кабинет и данные</w:t>
      </w:r>
    </w:p>
    <w:p>
      <w:pPr/>
      <w:r>
        <w:t>7.1. Кабинет клиента активируется после подтверждения поступления согласованного первого платежа. До оплаты документы и инструкции могут предоставляться по защищённой ограниченной ссылке. Вход через MAX допускается после безопасной проверки и привязки личности. Обычная кнопка согласия не объявляется электронной подписью.</w:t>
      </w:r>
    </w:p>
    <w:p>
      <w:pPr/>
      <w:r>
        <w:t>7.2. Доступ действует во время исполнения и согласованной поддержки. Дата окончания сообщается в кабинете; перед закрытием направляются предупреждения за 7 дней и за 1 день, если соответствующий срок позволяет. Эти уведомления не меняют сроков закона и договора.</w:t>
      </w:r>
    </w:p>
    <w:p>
      <w:pPr/>
      <w:r>
        <w:t>7.3. Незавершённая передача, неустранённые согласованные недостатки, открытая претензия или продление поддержки препятствуют автоматическому закрытию доступа по соответствующему заказу. Активный иной заказ сохраняет доступ к нему. После закрытия остаются контакты Исполнителя и возможность запросить документы без восстановления полного доступа.</w:t>
      </w:r>
    </w:p>
    <w:p>
      <w:pPr/>
      <w:r>
        <w:t>7.4. Закрытие доступа не удаляет договорный архив. Необходимые сведения хранятся для исполнения обязательств, соблюдения закона и защиты прав в объёме и сроки, соответствующие законным целям. При споре удаление связанных доказательств приостанавливается. Избыточные данные подлежат удалению или обезличиванию по применимым правилам.</w:t>
      </w:r>
    </w:p>
    <w:p>
      <w:pPr/>
      <w:r>
        <w:t>7.5. Конфиденциальные сведения и персональные данные не передаются в сторонние ИИ-сервисы без надлежащего основания и необходимых мер защиты. Настоящий договор сам по себе не разрешает любую трансграничную передачу или публичное распространение данных. Поручение обработки данных клиентского продукта при необходимости оформляется отдельно.</w:t>
      </w:r>
    </w:p>
    <w:p>
      <w:pPr>
        <w:pStyle w:val="Heading2"/>
      </w:pPr>
      <w:r>
        <w:t>8 Прекращение и ответственность</w:t>
      </w:r>
    </w:p>
    <w:p>
      <w:pPr/>
      <w:r>
        <w:t>8.1. При прекращении договора стороны фиксируют выполненные результаты, основания взаиморасчётов и подлежащий возврату остаток. Аванс не объявляется безусловно невозвратным. Применяются нормы о соответствующем виде договора и обязательные гарантии, если отношения являются потребительскими.</w:t>
      </w:r>
    </w:p>
    <w:p>
      <w:pPr/>
      <w:r>
        <w:t>8.2. Стороны отвечают по законодательству РФ. Договор не ограничивает обязательную законную ответственность и права потребителя там, где они применимы. Претензии направляются по реквизитам; срок ответа не может превышать обязательный срок по закону. Подсудность определяется применимым законодательством.</w:t>
      </w:r>
    </w:p>
    <w:p>
      <w:pPr/>
      <w:r>
        <w:t>8.3. Освобождение от ответственности вследствие непреодолимой силы возможно при наличии предусмотренных законом условий и доказанной связи с нарушением. Обычный сбой API, изменение тарифа или недоступность подрядчика сами по себе автоматически форс-мажором не считаются. Сторона уведомляет другую и принимает разумные меры по уменьшению последствий.</w:t>
      </w:r>
    </w:p>
    <w:p>
      <w:pPr/>
      <w:r>
        <w:t>8.4. Подписание: собственноручные подписи либо согласованный юридически действительный электронный способ.</w:t>
      </w:r>
    </w:p>
    <w:p>
      <w:pPr>
        <w:pStyle w:val="Heading2"/>
      </w:pPr>
      <w:r>
        <w:t>9 Приостановка и документирование</w:t>
      </w:r>
    </w:p>
    <w:p>
      <w:pPr/>
      <w:r>
        <w:t>9.1. Если непредоставление обязательных материалов, доступов или предусмотренного графиком встречного платежа препятствует выполнению работ, Исполнитель вправе не начинать затронутые работы или приостановить их в пределах, допускаемых применимым законом, в том числе статьями 328 и 719 ГК РФ. Уведомление содержит причину, затронутые работы, необходимые действия Заказчика и порядок возобновления. Независимые обязательства не приостанавливаются без основания.</w:t>
      </w:r>
    </w:p>
    <w:p>
      <w:pPr/>
      <w:r>
        <w:t>9.2. Приостановка не даёт права удалять данные, повреждать результат, отключать ранее оплаченные самостоятельные продукты или удерживать официальные чеки. После устранения препятствия Исполнитель сообщает о возобновлении и согласует обоснованное изменение графика. Возмещение расходов и прекращение договора осуществляются по применимому закону, без произвольных штрафов.</w:t>
      </w:r>
    </w:p>
    <w:p>
      <w:pPr/>
      <w:r>
        <w:t>9.3. Если приёмка затягивается, Исполнитель сохраняет переданную версию, уведомление, результаты тестов и замечания, повторно предлагает проверку и документирует препятствия. Отсутствие ответа не превращается автоматически в бессрочную бесплатную доработку: требования сверх согласованного объёма оформляются изменением задания; неустранённые недостатки рассматриваются отдельно.</w:t>
      </w:r>
    </w:p>
    <w:p>
      <w:pPr/>
      <w:r>
        <w:t>9.4. Указания, согласования и изменения бюджета принимаются от назначенного Заказчиком лица {{client.authorized_contact}}. Исполнитель подтверждает получение существенного изменения и его влияние на результат. Противоречащие указания разных представителей выносятся на разрешение уполномоченному лицу; они не изменяют согласованное ТЗ автоматически.</w:t>
      </w:r>
    </w:p>
    <w:p>
      <w:pPr/>
      <w:r>
        <w:t>9.5. До переноса или изменения действующего продукта стороны согласуют резервную копию, доступность восстановления, окно работ и проверки. Действия Заказчика или третьих лиц после передачи фиксируются при диагностике. Внешняя причина учитывается лишь в доказанном объёме и не освобождает Исполнителя от собственных ошибок или обязательной ответственности.</w:t>
      </w:r>
    </w:p>
    <w:p>
      <w:pPr/>
      <w:r>
        <w:t>9.6. Стороны соблюдают конфиденциальность непубличных сведений, используют их для исполнения договора и ограничивают доступ необходимыми лицами. Передача уполномоченным государственным органам и иные законные раскрытия допускаются на соответствующем основании. Доступы и токены не включаются в публичные демонстрации, переписку с неопределённым кругом лиц и материалы портфолио.</w:t>
      </w:r>
    </w:p>
    <w:p>
      <w:pPr>
        <w:pStyle w:val="Heading2"/>
        <w:pageBreakBefore/>
      </w:pPr>
      <w:r>
        <w:t>10 Реквизиты и подписи</w:t>
      </w:r>
    </w:p>
    <w:p>
      <w:pPr>
        <w:spacing w:line="288" w:lineRule="auto"/>
      </w:pPr>
      <w:r>
        <w:t>К договору № {{contract.number}} от {{contract.date}}</w:t>
      </w:r>
    </w:p>
    <w:p>
      <w:pPr>
        <w:pStyle w:val="Heading2"/>
        <w:keepNext/>
      </w:pPr>
      <w:r>
        <w:t>Исполнитель</w:t>
      </w:r>
    </w:p>
    <w:p>
      <w:pPr>
        <w:spacing w:line="288" w:lineRule="auto"/>
      </w:pPr>
      <w:r>
        <w:t>ФИО {{owner.full_name}}</w:t>
      </w:r>
    </w:p>
    <w:p>
      <w:pPr>
        <w:spacing w:line="288" w:lineRule="auto"/>
      </w:pPr>
      <w:r>
        <w:t>ИНН {{owner.inn}}</w:t>
      </w:r>
    </w:p>
    <w:p>
      <w:pPr>
        <w:spacing w:line="288" w:lineRule="auto"/>
      </w:pPr>
      <w:r>
        <w:t>{{owner.postal_address_line}}</w:t>
      </w:r>
    </w:p>
    <w:p>
      <w:pPr>
        <w:spacing w:line="288" w:lineRule="auto"/>
      </w:pPr>
      <w:r>
        <w:t>Банк {{owner.bank}}</w:t>
      </w:r>
    </w:p>
    <w:p>
      <w:pPr>
        <w:spacing w:line="288" w:lineRule="auto"/>
      </w:pPr>
      <w:r>
        <w:t>Номер счёта {{owner.account}}</w:t>
      </w:r>
    </w:p>
    <w:p>
      <w:pPr>
        <w:spacing w:line="288" w:lineRule="auto"/>
      </w:pPr>
      <w:r>
        <w:t>БИК и корреспондентский счёт {{owner.bank_details}}</w:t>
      </w:r>
    </w:p>
    <w:p>
      <w:pPr>
        <w:spacing w:line="288" w:lineRule="auto"/>
      </w:pPr>
      <w:r>
        <w:t>Электронная почта {{owner.email}}</w:t>
      </w:r>
    </w:p>
    <w:p>
      <w:pPr>
        <w:spacing w:line="288" w:lineRule="auto"/>
      </w:pPr>
      <w:r>
        <w:t>Согласованный контакт MAX или Telegram {{owner.contact}}</w:t>
      </w:r>
    </w:p>
    <w:p>
      <w:pPr>
        <w:keepLines/>
      </w:pPr>
      <w:r>
        <w:t>Подпись __________________ / {{owner.full_name}} /</w:t>
      </w:r>
    </w:p>
    <w:p>
      <w:pPr>
        <w:pStyle w:val="Heading2"/>
        <w:keepNext/>
      </w:pPr>
      <w:r>
        <w:t>Заказчик</w:t>
      </w:r>
    </w:p>
    <w:p>
      <w:pPr>
        <w:spacing w:line="288" w:lineRule="auto"/>
      </w:pPr>
      <w:r>
        <w:t>Тип и имя или наименование {{client.type}} {{client.name}}</w:t>
      </w:r>
    </w:p>
    <w:p>
      <w:pPr>
        <w:spacing w:line="288" w:lineRule="auto"/>
      </w:pPr>
      <w:r>
        <w:t>ИНН и ОГРН или ОГРНИП при наличии {{client.registration}}</w:t>
      </w:r>
    </w:p>
    <w:p>
      <w:pPr>
        <w:spacing w:line="288" w:lineRule="auto"/>
      </w:pPr>
      <w:r>
        <w:t>Представитель и основание полномочий для организации {{client.authority}}</w:t>
      </w:r>
    </w:p>
    <w:p>
      <w:pPr>
        <w:spacing w:line="288" w:lineRule="auto"/>
      </w:pPr>
      <w:r>
        <w:t>Адрес и необходимые идентификационные сведения {{client.details}}</w:t>
      </w:r>
    </w:p>
    <w:p>
      <w:pPr>
        <w:spacing w:line="288" w:lineRule="auto"/>
      </w:pPr>
      <w:r>
        <w:t>Банковские реквизиты при необходимости {{client.bank_details}}</w:t>
      </w:r>
    </w:p>
    <w:p>
      <w:pPr>
        <w:spacing w:line="288" w:lineRule="auto"/>
      </w:pPr>
      <w:r>
        <w:t>Электронная почта {{client.email}}</w:t>
      </w:r>
    </w:p>
    <w:p>
      <w:pPr>
        <w:spacing w:line="288" w:lineRule="auto"/>
      </w:pPr>
      <w:r>
        <w:t>Согласованный контакт {{client.contact}}</w:t>
      </w:r>
    </w:p>
    <w:p>
      <w:pPr/>
      <w:r>
        <w:t>Подпись __________________ / {{client.signatory}} 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080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</w:pPr>
    <w:r>
      <w:drawing>
        <wp:inline xmlns:a="http://schemas.openxmlformats.org/drawingml/2006/main" xmlns:pic="http://schemas.openxmlformats.org/drawingml/2006/picture">
          <wp:extent cx="320040" cy="320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rodel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36"/>
      </w:rPr>
      <w:t xml:space="preserve">  НейроДело</w:t>
    </w:r>
    <w:r>
      <w:rPr>
        <w:b/>
        <w:color w:val="FF3DA6"/>
        <w:sz w:val="36"/>
      </w:rPr>
      <w:t>.</w:t>
    </w:r>
    <w:r>
      <w:rPr>
        <w:color w:val="596273"/>
        <w:sz w:val="20"/>
      </w:rPr>
      <w:t xml:space="preserve">    neurodelo.pro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80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76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разработки цифрового продукта</dc:title>
  <dc:subject/>
  <dc:creator>НейроДело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