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3557"/>
          <w:sz w:val="72"/>
          <w:szCs w:val="72"/>
        </w:rPr>
        <w:t xml:space="preserve">SHRAMIK-PROFILE</w:t>
      </w:r>
    </w:p>
    <w:p>
      <w:pPr>
        <w:spacing w:before="100" w:after="60"/>
        <w:jc w:val="center"/>
      </w:pPr>
      <w:r>
        <w:rPr>
          <w:rFonts w:ascii="Arial" w:cs="Arial" w:eastAsia="Arial" w:hAnsi="Arial"/>
          <w:i/>
          <w:iCs/>
          <w:color w:val="0D9488"/>
          <w:sz w:val="36"/>
          <w:szCs w:val="36"/>
        </w:rPr>
        <w:t xml:space="preserve">The Digital Identity for Labor</w:t>
      </w:r>
    </w:p>
    <w:p>
      <w:pPr>
        <w:pBdr>
          <w:bottom w:val="single" w:color="2563EB" w:sz="4" w:space="1"/>
        </w:pBdr>
        <w:spacing w:before="60" w:after="60"/>
      </w:pPr>
    </w:p>
    <w:p>
      <w:pPr>
        <w:spacing w:before="80" w:after="80"/>
      </w:pPr>
    </w:p>
    <w:p>
      <w:pPr>
        <w:jc w:val="center"/>
      </w:pPr>
      <w:r>
        <w:rPr>
          <w:rFonts w:ascii="Arial" w:cs="Arial" w:eastAsia="Arial" w:hAnsi="Arial"/>
          <w:b/>
          <w:bCs/>
          <w:color w:val="334155"/>
          <w:sz w:val="28"/>
          <w:szCs w:val="28"/>
        </w:rPr>
        <w:t xml:space="preserve">COMPREHENSIVE LITERATURE REVIEW &amp; RESEARCH ANALYSIS</w:t>
      </w:r>
    </w:p>
    <w:p>
      <w:pPr>
        <w:spacing w:before="80"/>
        <w:jc w:val="center"/>
      </w:pPr>
      <w:r>
        <w:rPr>
          <w:rFonts w:ascii="Arial" w:cs="Arial" w:eastAsia="Arial" w:hAnsi="Arial"/>
          <w:i/>
          <w:iCs/>
          <w:color w:val="64748B"/>
          <w:sz w:val="22"/>
          <w:szCs w:val="22"/>
        </w:rPr>
        <w:t xml:space="preserve">30 Research Papers | Systematic Review | Citation Map | Problem Statement | Mentor Pitch Materials</w:t>
      </w:r>
    </w:p>
    <w:p>
      <w:pPr>
        <w:spacing w:before="600"/>
      </w:pPr>
    </w:p>
    <w:p>
      <w:pPr>
        <w:jc w:val="center"/>
      </w:pPr>
      <w:r>
        <w:rPr>
          <w:rFonts w:ascii="Arial" w:cs="Arial" w:eastAsia="Arial" w:hAnsi="Arial"/>
          <w:b/>
          <w:bCs/>
          <w:color w:val="1A3557"/>
          <w:sz w:val="24"/>
          <w:szCs w:val="24"/>
        </w:rPr>
        <w:t xml:space="preserve">Societal Internship Project</w:t>
      </w:r>
    </w:p>
    <w:p>
      <w:pPr>
        <w:jc w:val="center"/>
      </w:pPr>
      <w:r>
        <w:rPr>
          <w:rFonts w:ascii="Arial" w:cs="Arial" w:eastAsia="Arial" w:hAnsi="Arial"/>
          <w:color w:val="16A34A"/>
          <w:sz w:val="22"/>
          <w:szCs w:val="22"/>
        </w:rPr>
        <w:t xml:space="preserve">Aligned with SDG 8: Decent Work &amp; Economic Growth</w:t>
      </w:r>
    </w:p>
    <w:p>
      <w:pPr>
        <w:spacing w:before="4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color w:val="DC2626"/>
                <w:sz w:val="20"/>
                <w:szCs w:val="20"/>
              </w:rPr>
              <w:t xml:space="preserve">Difficulty Level: HIGH</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color w:val="1A3557"/>
                <w:sz w:val="20"/>
                <w:szCs w:val="20"/>
              </w:rPr>
              <w:t xml:space="preserve">Timeline: 9 Weeks</w:t>
            </w:r>
          </w:p>
        </w:tc>
      </w:tr>
      <w:tr>
        <w:tc>
          <w:tcPr>
            <w:tcW w:type="dxa" w:w="46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Arial" w:cs="Arial" w:eastAsia="Arial" w:hAnsi="Arial"/>
                <w:color w:val="0D9488"/>
                <w:sz w:val="20"/>
                <w:szCs w:val="20"/>
              </w:rPr>
              <w:t xml:space="preserve">30 Research Papers Reviewed</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Arial" w:cs="Arial" w:eastAsia="Arial" w:hAnsi="Arial"/>
                <w:color w:val="0D9488"/>
                <w:sz w:val="20"/>
                <w:szCs w:val="20"/>
              </w:rPr>
              <w:t xml:space="preserve">6 Research Clusters</w:t>
            </w:r>
          </w:p>
        </w:tc>
      </w:tr>
    </w:tbl>
    <w:p>
      <w:r>
        <w:br/>
        <w:t xml:space="preserve"/>
      </w:r>
    </w:p>
    <w:p>
      <w:pPr>
        <w:pStyle w:val="Heading1"/>
        <w:spacing w:before="280" w:after="120"/>
      </w:pPr>
      <w:r>
        <w:rPr>
          <w:rFonts w:ascii="Arial" w:cs="Arial" w:eastAsia="Arial" w:hAnsi="Arial"/>
          <w:b/>
          <w:bCs/>
          <w:color w:val="1A3557"/>
          <w:sz w:val="36"/>
          <w:szCs w:val="36"/>
        </w:rPr>
        <w:t xml:space="preserve">EXECUTIVE SUMMARY &amp; PROJECT OVERVIEW</w:t>
      </w:r>
    </w:p>
    <w:p>
      <w:pPr>
        <w:pBdr>
          <w:bottom w:val="single" w:color="0D9488" w:sz="4" w:space="1"/>
        </w:pBdr>
        <w:spacing w:before="60" w:after="60"/>
      </w:pP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20"/>
              <w:left w:type="dxa" w:w="200"/>
              <w:bottom w:type="dxa" w:w="120"/>
              <w:right w:type="dxa" w:w="200"/>
            </w:tcMar>
          </w:tcPr>
          <w:p>
            <w:r>
              <w:rPr>
                <w:rFonts w:ascii="Arial" w:cs="Arial" w:eastAsia="Arial" w:hAnsi="Arial"/>
                <w:b/>
                <w:bCs/>
                <w:color w:val="FFFFFF"/>
                <w:sz w:val="22"/>
                <w:szCs w:val="22"/>
              </w:rPr>
              <w:t xml:space="preserve">MENTOR PITCH — Lead with this</w:t>
            </w:r>
          </w:p>
        </w:tc>
      </w:tr>
    </w:tbl>
    <w:p>
      <w:pPr>
        <w:spacing w:before="100"/>
      </w:pPr>
    </w:p>
    <w:p>
      <w:pPr>
        <w:spacing w:before="60" w:after="100"/>
        <w:jc w:val="both"/>
      </w:pPr>
      <w:r>
        <w:rPr>
          <w:rFonts w:ascii="Arial" w:cs="Arial" w:eastAsia="Arial" w:hAnsi="Arial"/>
          <w:b w:val="false"/>
          <w:bCs w:val="false"/>
          <w:sz w:val="22"/>
          <w:szCs w:val="22"/>
        </w:rPr>
        <w:t xml:space="preserve">India has approximately </w:t>
      </w:r>
      <w:r>
        <w:rPr>
          <w:rFonts w:ascii="Arial" w:cs="Arial" w:eastAsia="Arial" w:hAnsi="Arial"/>
          <w:b/>
          <w:bCs/>
          <w:color w:val="DC2626"/>
          <w:sz w:val="22"/>
          <w:szCs w:val="22"/>
        </w:rPr>
        <w:t xml:space="preserve">500 million informal workers</w:t>
      </w:r>
      <w:r>
        <w:rPr>
          <w:rFonts w:ascii="Arial" w:cs="Arial" w:eastAsia="Arial" w:hAnsi="Arial"/>
          <w:sz w:val="22"/>
          <w:szCs w:val="22"/>
        </w:rPr>
        <w:t xml:space="preserve"> — constituting over 90% of the total workforce — who lack any form of verifiable, portable professional identity. Domestic workers, plumbers, security guards, electricians, and daily-wage earners perform skilled, essential work every day but carry no credible proof of their capabilities, work history, or professional reputation. This creates a structural poverty trap: workers cannot prove their competence, employers cannot trust unknown workers, and the informal labour market remains permanently inefficient, exploitative, and invisible to formal economic institutions.</w:t>
      </w:r>
    </w:p>
    <w:p>
      <w:pPr>
        <w:spacing w:before="80"/>
      </w:pPr>
    </w:p>
    <w:p>
      <w:pPr>
        <w:spacing w:before="60" w:after="100"/>
        <w:jc w:val="both"/>
      </w:pPr>
      <w:r>
        <w:rPr>
          <w:rFonts w:ascii="Arial" w:cs="Arial" w:eastAsia="Arial" w:hAnsi="Arial"/>
          <w:b/>
          <w:bCs/>
          <w:color w:val="1A3557"/>
          <w:sz w:val="22"/>
          <w:szCs w:val="22"/>
        </w:rPr>
        <w:t xml:space="preserve">Shramik-Profile </w:t>
      </w:r>
      <w:r>
        <w:rPr>
          <w:rFonts w:ascii="Arial" w:cs="Arial" w:eastAsia="Arial" w:hAnsi="Arial"/>
          <w:b w:val="false"/>
          <w:bCs w:val="false"/>
          <w:sz w:val="22"/>
          <w:szCs w:val="22"/>
        </w:rPr>
        <w:t xml:space="preserve">proposes to solve this structural problem through a </w:t>
      </w:r>
      <w:r>
        <w:rPr>
          <w:rFonts w:ascii="Arial" w:cs="Arial" w:eastAsia="Arial" w:hAnsi="Arial"/>
          <w:b/>
          <w:bCs/>
          <w:color w:val="1A3557"/>
          <w:sz w:val="22"/>
          <w:szCs w:val="22"/>
        </w:rPr>
        <w:t xml:space="preserve">Digital Identity and Reputation System</w:t>
      </w:r>
      <w:r>
        <w:rPr>
          <w:rFonts w:ascii="Arial" w:cs="Arial" w:eastAsia="Arial" w:hAnsi="Arial"/>
          <w:sz w:val="22"/>
          <w:szCs w:val="22"/>
        </w:rPr>
        <w:t xml:space="preserve"> — a mobile-responsive web portal that allows informal workers to create a verified digital profile linked to their phone number, and enables employers to leave cryptographically-tied, immutable 'Verified Ratings' that collectively constitute a portable 'Digital Trust Resume.' This is precisely the technology stack that SDG 8 (Decent Work &amp; Economic Growth) calls for: bridging the gap between workers' actual skills and the formal recognition those skills deserve.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Project Name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Shramik-Profile: The Digital Identity for Labor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Target Users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Informal Workers (maids, plumbers, guards, cooks, electricians) + Employers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Core Problem</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90% of India's workforce has no verifiable digital professional record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Tech Approach</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Secure database, RBAC (Worker/Employer roles), OTP authentication, mobile-first UI, Verified Ratings system</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(Decent Work), SDG 1 (No Poverty), SDG 10 (Reduced Inequalities), SDG 9 (Industry &amp; Innovation)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9-Week Goal</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Functional portal: workers create profiles, employers leave verified ratings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Social Innovation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Gives informal workers a 'Digital Voice' and verifiable work history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Academic Value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Demonstrates data integrity, system design, and sociotechnical impact — high marks potential</w:t>
            </w:r>
          </w:p>
        </w:tc>
      </w:tr>
    </w:tbl>
    <w:p>
      <w:r>
        <w:br/>
        <w:t xml:space="preserve"/>
      </w:r>
    </w:p>
    <w:p>
      <w:pPr>
        <w:pStyle w:val="Heading1"/>
        <w:spacing w:before="280" w:after="120"/>
      </w:pPr>
      <w:r>
        <w:rPr>
          <w:rFonts w:ascii="Arial" w:cs="Arial" w:eastAsia="Arial" w:hAnsi="Arial"/>
          <w:b/>
          <w:bCs/>
          <w:color w:val="1A3557"/>
          <w:sz w:val="36"/>
          <w:szCs w:val="36"/>
        </w:rPr>
        <w:t xml:space="preserve">PROBLEM STATEMENT</w:t>
      </w:r>
    </w:p>
    <w:p>
      <w:pPr>
        <w:pBdr>
          <w:bottom w:val="single" w:color="DC2626" w:sz="4" w:space="1"/>
        </w:pBdr>
        <w:spacing w:before="60" w:after="60"/>
      </w:pPr>
    </w:p>
    <w:p>
      <w:pPr>
        <w:spacing w:before="100"/>
      </w:pPr>
    </w:p>
    <w:p>
      <w:pPr>
        <w:pStyle w:val="Heading2"/>
        <w:spacing w:before="280" w:after="120"/>
      </w:pPr>
      <w:r>
        <w:rPr>
          <w:rFonts w:ascii="Arial" w:cs="Arial" w:eastAsia="Arial" w:hAnsi="Arial"/>
          <w:b/>
          <w:bCs/>
          <w:color w:val="2563EB"/>
          <w:sz w:val="28"/>
          <w:szCs w:val="28"/>
        </w:rPr>
        <w:t xml:space="preserve">1.1 The Scale of Informal Labour in India</w:t>
      </w:r>
    </w:p>
    <w:p>
      <w:pPr>
        <w:spacing w:before="60" w:after="100"/>
        <w:jc w:val="both"/>
      </w:pPr>
      <w:r>
        <w:rPr>
          <w:rFonts w:ascii="Arial" w:cs="Arial" w:eastAsia="Arial" w:hAnsi="Arial"/>
          <w:sz w:val="22"/>
          <w:szCs w:val="22"/>
        </w:rPr>
        <w:t xml:space="preserve">India's informal economy is not a peripheral phenomenon — it is the economy. As of the latest estimates, informal workers comprise 85.8% to 93% of India's total workforce (varies by definition), covering approximately 400-500 million workers. These are the domestic workers who clean middle-class homes, the plumbers who fix our pipes, the security guards who protect our housing societies, the electricians who wire our offices, and the cooks who feed millions daily. They are essential, skilled, and utterly invisible to formal economic systems.</w:t>
      </w:r>
    </w:p>
    <w:p>
      <w:pPr>
        <w:spacing w:before="80"/>
      </w:pPr>
    </w:p>
    <w:p>
      <w:pPr>
        <w:pStyle w:val="Heading2"/>
        <w:spacing w:before="280" w:after="120"/>
      </w:pPr>
      <w:r>
        <w:rPr>
          <w:rFonts w:ascii="Arial" w:cs="Arial" w:eastAsia="Arial" w:hAnsi="Arial"/>
          <w:b/>
          <w:bCs/>
          <w:color w:val="2563EB"/>
          <w:sz w:val="28"/>
          <w:szCs w:val="28"/>
        </w:rPr>
        <w:t xml:space="preserve">1.2 The Identity Gap: A Structural Problem</w:t>
      </w:r>
    </w:p>
    <w:p>
      <w:pPr>
        <w:spacing w:before="60" w:after="100"/>
        <w:jc w:val="both"/>
      </w:pPr>
      <w:r>
        <w:rPr>
          <w:rFonts w:ascii="Arial" w:cs="Arial" w:eastAsia="Arial" w:hAnsi="Arial"/>
          <w:sz w:val="22"/>
          <w:szCs w:val="22"/>
        </w:rPr>
        <w:t xml:space="preserve">The core problem is not a lack of skill — India's informal workers are often highly skilled through years of practice. The problem is the complete absence of verifiable professional identity. A plumber with 15 years of experience looks identical on paper (or in the complete absence of paper) to a plumber with 15 days of experience. This information asymmetry has three devastating consequences:</w:t>
      </w:r>
    </w:p>
    <w:p>
      <w:pPr>
        <w:pStyle w:val="ListParagraph"/>
        <w:numPr>
          <w:ilvl w:val="0"/>
          <w:numId w:val="2"/>
        </w:numPr>
        <w:spacing w:before="40" w:after="40"/>
      </w:pPr>
      <w:r>
        <w:rPr>
          <w:rFonts w:ascii="Arial" w:cs="Arial" w:eastAsia="Arial" w:hAnsi="Arial"/>
          <w:sz w:val="22"/>
          <w:szCs w:val="22"/>
        </w:rPr>
        <w:t xml:space="preserve">Employer Exploitation: Employers have no way to verify a worker's quality, so they systematically underpay rather than risk overpaying. Workers with genuine expertise receive the same (or only marginally better) wages as unskilled workers.</w:t>
      </w:r>
    </w:p>
    <w:p>
      <w:pPr>
        <w:pStyle w:val="ListParagraph"/>
        <w:numPr>
          <w:ilvl w:val="0"/>
          <w:numId w:val="2"/>
        </w:numPr>
        <w:spacing w:before="40" w:after="40"/>
      </w:pPr>
      <w:r>
        <w:rPr>
          <w:rFonts w:ascii="Arial" w:cs="Arial" w:eastAsia="Arial" w:hAnsi="Arial"/>
          <w:sz w:val="22"/>
          <w:szCs w:val="22"/>
        </w:rPr>
        <w:t xml:space="preserve">Worker Vulnerability: Workers cannot demonstrate their track record, making them perpetually dependent on word-of-mouth referrals from a small personal network. Geographic mobility is almost impossible — a skilled maid from Chennai cannot prove her competence to a Hyderabad employer.</w:t>
      </w:r>
    </w:p>
    <w:p>
      <w:pPr>
        <w:pStyle w:val="ListParagraph"/>
        <w:numPr>
          <w:ilvl w:val="0"/>
          <w:numId w:val="2"/>
        </w:numPr>
        <w:spacing w:before="40" w:after="40"/>
      </w:pPr>
      <w:r>
        <w:rPr>
          <w:rFonts w:ascii="Arial" w:cs="Arial" w:eastAsia="Arial" w:hAnsi="Arial"/>
          <w:sz w:val="22"/>
          <w:szCs w:val="22"/>
        </w:rPr>
        <w:t xml:space="preserve">Market Inefficiency: The informal labour market operates at enormous inefficiency — good workers and good employers cannot reliably find each other, resulting in mismatches, disputes, and high turnover that impose costs on both sides.</w:t>
      </w:r>
    </w:p>
    <w:p>
      <w:pPr>
        <w:spacing w:before="80"/>
      </w:pPr>
    </w:p>
    <w:p>
      <w:pPr>
        <w:pStyle w:val="Heading2"/>
        <w:spacing w:before="280" w:after="120"/>
      </w:pPr>
      <w:r>
        <w:rPr>
          <w:rFonts w:ascii="Arial" w:cs="Arial" w:eastAsia="Arial" w:hAnsi="Arial"/>
          <w:b/>
          <w:bCs/>
          <w:color w:val="2563EB"/>
          <w:sz w:val="28"/>
          <w:szCs w:val="28"/>
        </w:rPr>
        <w:t xml:space="preserve">1.3 Existing Solutions Have Failed</w:t>
      </w:r>
    </w:p>
    <w:p>
      <w:pPr>
        <w:spacing w:before="60" w:after="100"/>
        <w:jc w:val="both"/>
      </w:pPr>
      <w:r>
        <w:rPr>
          <w:rFonts w:ascii="Arial" w:cs="Arial" w:eastAsia="Arial" w:hAnsi="Arial"/>
          <w:sz w:val="22"/>
          <w:szCs w:val="22"/>
        </w:rPr>
        <w:t xml:space="preserve">The Government of India's E-Shram portal (2021) registered 300+ million informal workers but functions only as a basic identity card — it has no employer interface, no skill verification, no rating system, and no job-matching functionality. It tells the world that a worker exists, but nothing about whether they are any good. Existing gig platforms (UrbanClap/Urban Company, TaskRabbit equivalents) serve only a fraction of workers and bind reputation to their own platform, creating vendor lock-in. Workers cannot take their UrbanClap ratings when they leave the platform.</w:t>
      </w:r>
    </w:p>
    <w:p>
      <w:pPr>
        <w:spacing w:before="80"/>
      </w:pPr>
    </w:p>
    <w:p>
      <w:pPr>
        <w:pStyle w:val="Heading2"/>
        <w:spacing w:before="280" w:after="120"/>
      </w:pPr>
      <w:r>
        <w:rPr>
          <w:rFonts w:ascii="Arial" w:cs="Arial" w:eastAsia="Arial" w:hAnsi="Arial"/>
          <w:b/>
          <w:bCs/>
          <w:color w:val="2563EB"/>
          <w:sz w:val="28"/>
          <w:szCs w:val="28"/>
        </w:rPr>
        <w:t xml:space="preserve">1.4 The Shramik-Profile Solution</w:t>
      </w:r>
    </w:p>
    <w:p>
      <w:pPr>
        <w:spacing w:before="60" w:after="100"/>
        <w:jc w:val="both"/>
      </w:pPr>
      <w:r>
        <w:rPr>
          <w:rFonts w:ascii="Arial" w:cs="Arial" w:eastAsia="Arial" w:hAnsi="Arial"/>
          <w:sz w:val="22"/>
          <w:szCs w:val="22"/>
        </w:rPr>
        <w:t xml:space="preserve">Shramik-Profile addresses this gap with three innovations: </w:t>
      </w:r>
      <w:r>
        <w:rPr>
          <w:rFonts w:ascii="Arial" w:cs="Arial" w:eastAsia="Arial" w:hAnsi="Arial"/>
          <w:b/>
          <w:bCs/>
          <w:color w:val="1A3557"/>
          <w:sz w:val="22"/>
          <w:szCs w:val="22"/>
        </w:rPr>
        <w:t xml:space="preserve">(1) Phone-Linked Portable Identity</w:t>
      </w:r>
      <w:r>
        <w:rPr>
          <w:rFonts w:ascii="Arial" w:cs="Arial" w:eastAsia="Arial" w:hAnsi="Arial"/>
          <w:sz w:val="22"/>
          <w:szCs w:val="22"/>
        </w:rPr>
        <w:t xml:space="preserve"> — a worker's profile is anchored to their mobile phone number and travels with them across cities and employers; </w:t>
      </w:r>
      <w:r>
        <w:rPr>
          <w:rFonts w:ascii="Arial" w:cs="Arial" w:eastAsia="Arial" w:hAnsi="Arial"/>
          <w:b/>
          <w:bCs/>
          <w:color w:val="1A3557"/>
          <w:sz w:val="22"/>
          <w:szCs w:val="22"/>
        </w:rPr>
        <w:t xml:space="preserve">(2) Employer-Verified Ratings</w:t>
      </w:r>
      <w:r>
        <w:rPr>
          <w:rFonts w:ascii="Arial" w:cs="Arial" w:eastAsia="Arial" w:hAnsi="Arial"/>
          <w:sz w:val="22"/>
          <w:szCs w:val="22"/>
        </w:rPr>
        <w:t xml:space="preserve"> — ratings are left only by employers who have verified their job relationship, making the Trust Resume authentic and tamper-resistant; </w:t>
      </w:r>
      <w:r>
        <w:rPr>
          <w:rFonts w:ascii="Arial" w:cs="Arial" w:eastAsia="Arial" w:hAnsi="Arial"/>
          <w:b/>
          <w:bCs/>
          <w:color w:val="1A3557"/>
          <w:sz w:val="22"/>
          <w:szCs w:val="22"/>
        </w:rPr>
        <w:t xml:space="preserve">(3) Dual-Role Architecture</w:t>
      </w:r>
      <w:r>
        <w:rPr>
          <w:rFonts w:ascii="Arial" w:cs="Arial" w:eastAsia="Arial" w:hAnsi="Arial"/>
          <w:sz w:val="22"/>
          <w:szCs w:val="22"/>
        </w:rPr>
        <w:t xml:space="preserve"> — a secure system that serves workers (profile creation) and employers (rating and search) through a single, carefully permissioned platform.</w:t>
      </w:r>
    </w:p>
    <w:p>
      <w:r>
        <w:br/>
        <w:t xml:space="preserve"/>
      </w:r>
    </w:p>
    <w:p>
      <w:pPr>
        <w:pStyle w:val="Heading1"/>
        <w:spacing w:before="280" w:after="120"/>
      </w:pPr>
      <w:r>
        <w:rPr>
          <w:rFonts w:ascii="Arial" w:cs="Arial" w:eastAsia="Arial" w:hAnsi="Arial"/>
          <w:b/>
          <w:bCs/>
          <w:color w:val="1A3557"/>
          <w:sz w:val="36"/>
          <w:szCs w:val="36"/>
        </w:rPr>
        <w:t xml:space="preserve">RESEARCH PAPERS — MASTER INDEX (30 Papers)</w:t>
      </w:r>
    </w:p>
    <w:p>
      <w:pPr>
        <w:pBdr>
          <w:bottom w:val="single" w:color="2563EB" w:sz="4" w:space="1"/>
        </w:pBdr>
        <w:spacing w:before="60" w:after="60"/>
      </w:pPr>
    </w:p>
    <w:p>
      <w:pPr>
        <w:spacing w:before="100"/>
      </w:pPr>
    </w:p>
    <w:p>
      <w:pPr>
        <w:spacing w:before="120" w:after="40"/>
      </w:pPr>
      <w:r>
        <w:rPr>
          <w:rFonts w:ascii="Arial" w:cs="Arial" w:eastAsia="Arial" w:hAnsi="Arial"/>
          <w:b/>
          <w:bCs/>
          <w:color w:val="2563EB"/>
          <w:sz w:val="22"/>
          <w:szCs w:val="22"/>
        </w:rPr>
        <w:t xml:space="preserve">CLUSTER 1: India's Informal Labour Market &amp; The Identity Gap</w:t>
      </w:r>
    </w:p>
    <w:p>
      <w:pPr>
        <w:pStyle w:val="ListParagraph"/>
        <w:numPr>
          <w:ilvl w:val="0"/>
          <w:numId w:val="3"/>
        </w:numPr>
        <w:spacing w:before="30" w:after="30"/>
      </w:pPr>
      <w:r>
        <w:rPr>
          <w:rFonts w:ascii="Arial" w:cs="Arial" w:eastAsia="Arial" w:hAnsi="Arial"/>
          <w:sz w:val="22"/>
          <w:szCs w:val="22"/>
        </w:rPr>
        <w:t xml:space="preserve">Paper 1: </w:t>
      </w:r>
      <w:r>
        <w:rPr>
          <w:rFonts w:ascii="Arial" w:cs="Arial" w:eastAsia="Arial" w:hAnsi="Arial"/>
          <w:i/>
          <w:iCs/>
          <w:color w:val="334155"/>
          <w:sz w:val="22"/>
          <w:szCs w:val="22"/>
        </w:rPr>
        <w:t xml:space="preserve">Reshaping the Social Contract: Emerging Relations between the State and Informal Labor in India</w:t>
      </w:r>
      <w:r>
        <w:rPr>
          <w:rFonts w:ascii="Arial" w:cs="Arial" w:eastAsia="Arial" w:hAnsi="Arial"/>
          <w:color w:val="64748B"/>
          <w:sz w:val="20"/>
          <w:szCs w:val="20"/>
        </w:rPr>
        <w:t xml:space="preserve"> — Rina Agarwala (2008)</w:t>
      </w:r>
    </w:p>
    <w:p>
      <w:pPr>
        <w:pStyle w:val="ListParagraph"/>
        <w:numPr>
          <w:ilvl w:val="0"/>
          <w:numId w:val="3"/>
        </w:numPr>
        <w:spacing w:before="30" w:after="30"/>
      </w:pPr>
      <w:r>
        <w:rPr>
          <w:rFonts w:ascii="Arial" w:cs="Arial" w:eastAsia="Arial" w:hAnsi="Arial"/>
          <w:sz w:val="22"/>
          <w:szCs w:val="22"/>
        </w:rPr>
        <w:t xml:space="preserve">Paper 2: </w:t>
      </w:r>
      <w:r>
        <w:rPr>
          <w:rFonts w:ascii="Arial" w:cs="Arial" w:eastAsia="Arial" w:hAnsi="Arial"/>
          <w:i/>
          <w:iCs/>
          <w:color w:val="334155"/>
          <w:sz w:val="22"/>
          <w:szCs w:val="22"/>
        </w:rPr>
        <w:t xml:space="preserve">Informal Employment in India: Voluntary Choice or a Result of Labour Market Segmentation?</w:t>
      </w:r>
      <w:r>
        <w:rPr>
          <w:rFonts w:ascii="Arial" w:cs="Arial" w:eastAsia="Arial" w:hAnsi="Arial"/>
          <w:color w:val="64748B"/>
          <w:sz w:val="20"/>
          <w:szCs w:val="20"/>
        </w:rPr>
        <w:t xml:space="preserve"> — Papola, T.S. &amp; Sahu, P.P. (2012)</w:t>
      </w:r>
    </w:p>
    <w:p>
      <w:pPr>
        <w:pStyle w:val="ListParagraph"/>
        <w:numPr>
          <w:ilvl w:val="0"/>
          <w:numId w:val="3"/>
        </w:numPr>
        <w:spacing w:before="30" w:after="30"/>
      </w:pPr>
      <w:r>
        <w:rPr>
          <w:rFonts w:ascii="Arial" w:cs="Arial" w:eastAsia="Arial" w:hAnsi="Arial"/>
          <w:sz w:val="22"/>
          <w:szCs w:val="22"/>
        </w:rPr>
        <w:t xml:space="preserve">Paper 3: </w:t>
      </w:r>
      <w:r>
        <w:rPr>
          <w:rFonts w:ascii="Arial" w:cs="Arial" w:eastAsia="Arial" w:hAnsi="Arial"/>
          <w:i/>
          <w:iCs/>
          <w:color w:val="334155"/>
          <w:sz w:val="22"/>
          <w:szCs w:val="22"/>
        </w:rPr>
        <w:t xml:space="preserve">Digitalisation and the Indian Labour Market: Trends, Challenges and Opportunities</w:t>
      </w:r>
      <w:r>
        <w:rPr>
          <w:rFonts w:ascii="Arial" w:cs="Arial" w:eastAsia="Arial" w:hAnsi="Arial"/>
          <w:color w:val="64748B"/>
          <w:sz w:val="20"/>
          <w:szCs w:val="20"/>
        </w:rPr>
        <w:t xml:space="preserve"> — GIZ (Deutsche Gesellschaft für Internationale Zusammenarbeit) / BMZ (2022)</w:t>
      </w:r>
    </w:p>
    <w:p>
      <w:pPr>
        <w:pStyle w:val="ListParagraph"/>
        <w:numPr>
          <w:ilvl w:val="0"/>
          <w:numId w:val="3"/>
        </w:numPr>
        <w:spacing w:before="30" w:after="30"/>
      </w:pPr>
      <w:r>
        <w:rPr>
          <w:rFonts w:ascii="Arial" w:cs="Arial" w:eastAsia="Arial" w:hAnsi="Arial"/>
          <w:sz w:val="22"/>
          <w:szCs w:val="22"/>
        </w:rPr>
        <w:t xml:space="preserve">Paper 4: </w:t>
      </w:r>
      <w:r>
        <w:rPr>
          <w:rFonts w:ascii="Arial" w:cs="Arial" w:eastAsia="Arial" w:hAnsi="Arial"/>
          <w:i/>
          <w:iCs/>
          <w:color w:val="334155"/>
          <w:sz w:val="22"/>
          <w:szCs w:val="22"/>
        </w:rPr>
        <w:t xml:space="preserve">India's Booming Gig and Platform Economy: Prospects and Recommendations for Work, Workers, Well-being and Beyond</w:t>
      </w:r>
      <w:r>
        <w:rPr>
          <w:rFonts w:ascii="Arial" w:cs="Arial" w:eastAsia="Arial" w:hAnsi="Arial"/>
          <w:color w:val="64748B"/>
          <w:sz w:val="20"/>
          <w:szCs w:val="20"/>
        </w:rPr>
        <w:t xml:space="preserve"> — NITI Aayog (2022)</w:t>
      </w:r>
    </w:p>
    <w:p>
      <w:pPr>
        <w:pStyle w:val="ListParagraph"/>
        <w:numPr>
          <w:ilvl w:val="0"/>
          <w:numId w:val="3"/>
        </w:numPr>
        <w:spacing w:before="30" w:after="30"/>
      </w:pPr>
      <w:r>
        <w:rPr>
          <w:rFonts w:ascii="Arial" w:cs="Arial" w:eastAsia="Arial" w:hAnsi="Arial"/>
          <w:sz w:val="22"/>
          <w:szCs w:val="22"/>
        </w:rPr>
        <w:t xml:space="preserve">Paper 5: </w:t>
      </w:r>
      <w:r>
        <w:rPr>
          <w:rFonts w:ascii="Arial" w:cs="Arial" w:eastAsia="Arial" w:hAnsi="Arial"/>
          <w:i/>
          <w:iCs/>
          <w:color w:val="334155"/>
          <w:sz w:val="22"/>
          <w:szCs w:val="22"/>
        </w:rPr>
        <w:t xml:space="preserve">Expansion of the Gig and Platform Economy in India: Opportunities for Employer and Business Member Organizations</w:t>
      </w:r>
      <w:r>
        <w:rPr>
          <w:rFonts w:ascii="Arial" w:cs="Arial" w:eastAsia="Arial" w:hAnsi="Arial"/>
          <w:color w:val="64748B"/>
          <w:sz w:val="20"/>
          <w:szCs w:val="20"/>
        </w:rPr>
        <w:t xml:space="preserve"> — ILO Bureau for Employers Activities / AIOE / EFI (2022)</w:t>
      </w:r>
    </w:p>
    <w:p>
      <w:pPr>
        <w:spacing w:before="120" w:after="40"/>
      </w:pPr>
      <w:r>
        <w:rPr>
          <w:rFonts w:ascii="Arial" w:cs="Arial" w:eastAsia="Arial" w:hAnsi="Arial"/>
          <w:b/>
          <w:bCs/>
          <w:color w:val="2563EB"/>
          <w:sz w:val="22"/>
          <w:szCs w:val="22"/>
        </w:rPr>
        <w:t xml:space="preserve">CLUSTER 2: Digital Identity for Informal Workers</w:t>
      </w:r>
    </w:p>
    <w:p>
      <w:pPr>
        <w:pStyle w:val="ListParagraph"/>
        <w:numPr>
          <w:ilvl w:val="0"/>
          <w:numId w:val="3"/>
        </w:numPr>
        <w:spacing w:before="30" w:after="30"/>
      </w:pPr>
      <w:r>
        <w:rPr>
          <w:rFonts w:ascii="Arial" w:cs="Arial" w:eastAsia="Arial" w:hAnsi="Arial"/>
          <w:sz w:val="22"/>
          <w:szCs w:val="22"/>
        </w:rPr>
        <w:t xml:space="preserve">Paper 6: </w:t>
      </w:r>
      <w:r>
        <w:rPr>
          <w:rFonts w:ascii="Arial" w:cs="Arial" w:eastAsia="Arial" w:hAnsi="Arial"/>
          <w:i/>
          <w:iCs/>
          <w:color w:val="334155"/>
          <w:sz w:val="22"/>
          <w:szCs w:val="22"/>
        </w:rPr>
        <w:t xml:space="preserve">Digital Identity, Datafication and Social Justice: Understanding Aadhaar Use Among Informal Workers in South India</w:t>
      </w:r>
      <w:r>
        <w:rPr>
          <w:rFonts w:ascii="Arial" w:cs="Arial" w:eastAsia="Arial" w:hAnsi="Arial"/>
          <w:color w:val="64748B"/>
          <w:sz w:val="20"/>
          <w:szCs w:val="20"/>
        </w:rPr>
        <w:t xml:space="preserve"> — Shyam Krishna (2021)</w:t>
      </w:r>
    </w:p>
    <w:p>
      <w:pPr>
        <w:pStyle w:val="ListParagraph"/>
        <w:numPr>
          <w:ilvl w:val="0"/>
          <w:numId w:val="3"/>
        </w:numPr>
        <w:spacing w:before="30" w:after="30"/>
      </w:pPr>
      <w:r>
        <w:rPr>
          <w:rFonts w:ascii="Arial" w:cs="Arial" w:eastAsia="Arial" w:hAnsi="Arial"/>
          <w:sz w:val="22"/>
          <w:szCs w:val="22"/>
        </w:rPr>
        <w:t xml:space="preserve">Paper 7: </w:t>
      </w:r>
      <w:r>
        <w:rPr>
          <w:rFonts w:ascii="Arial" w:cs="Arial" w:eastAsia="Arial" w:hAnsi="Arial"/>
          <w:i/>
          <w:iCs/>
          <w:color w:val="334155"/>
          <w:sz w:val="22"/>
          <w:szCs w:val="22"/>
        </w:rPr>
        <w:t xml:space="preserve">Aadhaar: Digital Inclusion and Public Services in India</w:t>
      </w:r>
      <w:r>
        <w:rPr>
          <w:rFonts w:ascii="Arial" w:cs="Arial" w:eastAsia="Arial" w:hAnsi="Arial"/>
          <w:color w:val="64748B"/>
          <w:sz w:val="20"/>
          <w:szCs w:val="20"/>
        </w:rPr>
        <w:t xml:space="preserve"> — Shweta Banerjee (2016)</w:t>
      </w:r>
    </w:p>
    <w:p>
      <w:pPr>
        <w:pStyle w:val="ListParagraph"/>
        <w:numPr>
          <w:ilvl w:val="0"/>
          <w:numId w:val="3"/>
        </w:numPr>
        <w:spacing w:before="30" w:after="30"/>
      </w:pPr>
      <w:r>
        <w:rPr>
          <w:rFonts w:ascii="Arial" w:cs="Arial" w:eastAsia="Arial" w:hAnsi="Arial"/>
          <w:sz w:val="22"/>
          <w:szCs w:val="22"/>
        </w:rPr>
        <w:t xml:space="preserve">Paper 8: </w:t>
      </w:r>
      <w:r>
        <w:rPr>
          <w:rFonts w:ascii="Arial" w:cs="Arial" w:eastAsia="Arial" w:hAnsi="Arial"/>
          <w:i/>
          <w:iCs/>
          <w:color w:val="334155"/>
          <w:sz w:val="22"/>
          <w:szCs w:val="22"/>
        </w:rPr>
        <w:t xml:space="preserve">A Survey on Decentralized Identifiers and Verifiable Credentials</w:t>
      </w:r>
      <w:r>
        <w:rPr>
          <w:rFonts w:ascii="Arial" w:cs="Arial" w:eastAsia="Arial" w:hAnsi="Arial"/>
          <w:color w:val="64748B"/>
          <w:sz w:val="20"/>
          <w:szCs w:val="20"/>
        </w:rPr>
        <w:t xml:space="preserve"> — Mazzocca, C. et al. (2024)</w:t>
      </w:r>
    </w:p>
    <w:p>
      <w:pPr>
        <w:pStyle w:val="ListParagraph"/>
        <w:numPr>
          <w:ilvl w:val="0"/>
          <w:numId w:val="3"/>
        </w:numPr>
        <w:spacing w:before="30" w:after="30"/>
      </w:pPr>
      <w:r>
        <w:rPr>
          <w:rFonts w:ascii="Arial" w:cs="Arial" w:eastAsia="Arial" w:hAnsi="Arial"/>
          <w:sz w:val="22"/>
          <w:szCs w:val="22"/>
        </w:rPr>
        <w:t xml:space="preserve">Paper 9: </w:t>
      </w:r>
      <w:r>
        <w:rPr>
          <w:rFonts w:ascii="Arial" w:cs="Arial" w:eastAsia="Arial" w:hAnsi="Arial"/>
          <w:i/>
          <w:iCs/>
          <w:color w:val="334155"/>
          <w:sz w:val="22"/>
          <w:szCs w:val="22"/>
        </w:rPr>
        <w:t xml:space="preserve">Blockchain-Based Digital Identity Verification System for Secure and Decentralized Authentication</w:t>
      </w:r>
      <w:r>
        <w:rPr>
          <w:rFonts w:ascii="Arial" w:cs="Arial" w:eastAsia="Arial" w:hAnsi="Arial"/>
          <w:color w:val="64748B"/>
          <w:sz w:val="20"/>
          <w:szCs w:val="20"/>
        </w:rPr>
        <w:t xml:space="preserve"> — Sharma, P. et al. (2023)</w:t>
      </w:r>
    </w:p>
    <w:p>
      <w:pPr>
        <w:pStyle w:val="ListParagraph"/>
        <w:numPr>
          <w:ilvl w:val="0"/>
          <w:numId w:val="3"/>
        </w:numPr>
        <w:spacing w:before="30" w:after="30"/>
      </w:pPr>
      <w:r>
        <w:rPr>
          <w:rFonts w:ascii="Arial" w:cs="Arial" w:eastAsia="Arial" w:hAnsi="Arial"/>
          <w:sz w:val="22"/>
          <w:szCs w:val="22"/>
        </w:rPr>
        <w:t xml:space="preserve">Paper 10: </w:t>
      </w:r>
      <w:r>
        <w:rPr>
          <w:rFonts w:ascii="Arial" w:cs="Arial" w:eastAsia="Arial" w:hAnsi="Arial"/>
          <w:i/>
          <w:iCs/>
          <w:color w:val="334155"/>
          <w:sz w:val="22"/>
          <w:szCs w:val="22"/>
        </w:rPr>
        <w:t xml:space="preserve">E-Shram Portal: Challenges and Opportunities for Registering India's Unorganized Workforce</w:t>
      </w:r>
      <w:r>
        <w:rPr>
          <w:rFonts w:ascii="Arial" w:cs="Arial" w:eastAsia="Arial" w:hAnsi="Arial"/>
          <w:color w:val="64748B"/>
          <w:sz w:val="20"/>
          <w:szCs w:val="20"/>
        </w:rPr>
        <w:t xml:space="preserve"> — Ministry of Labour &amp; Employment, GOI (Analysis: Multiple CSE/Policy Papers) (2021-2023)</w:t>
      </w:r>
    </w:p>
    <w:p>
      <w:pPr>
        <w:spacing w:before="120" w:after="40"/>
      </w:pPr>
      <w:r>
        <w:rPr>
          <w:rFonts w:ascii="Arial" w:cs="Arial" w:eastAsia="Arial" w:hAnsi="Arial"/>
          <w:b/>
          <w:bCs/>
          <w:color w:val="2563EB"/>
          <w:sz w:val="22"/>
          <w:szCs w:val="22"/>
        </w:rPr>
        <w:t xml:space="preserve">CLUSTER 3: Reputation &amp; Rating Systems — The Trust Resume</w:t>
      </w:r>
    </w:p>
    <w:p>
      <w:pPr>
        <w:pStyle w:val="ListParagraph"/>
        <w:numPr>
          <w:ilvl w:val="0"/>
          <w:numId w:val="3"/>
        </w:numPr>
        <w:spacing w:before="30" w:after="30"/>
      </w:pPr>
      <w:r>
        <w:rPr>
          <w:rFonts w:ascii="Arial" w:cs="Arial" w:eastAsia="Arial" w:hAnsi="Arial"/>
          <w:sz w:val="22"/>
          <w:szCs w:val="22"/>
        </w:rPr>
        <w:t xml:space="preserve">Paper 11: </w:t>
      </w:r>
      <w:r>
        <w:rPr>
          <w:rFonts w:ascii="Arial" w:cs="Arial" w:eastAsia="Arial" w:hAnsi="Arial"/>
          <w:i/>
          <w:iCs/>
          <w:color w:val="334155"/>
          <w:sz w:val="22"/>
          <w:szCs w:val="22"/>
        </w:rPr>
        <w:t xml:space="preserve">A Survey of Trust and Reputation Systems for Online Service Provision</w:t>
      </w:r>
      <w:r>
        <w:rPr>
          <w:rFonts w:ascii="Arial" w:cs="Arial" w:eastAsia="Arial" w:hAnsi="Arial"/>
          <w:color w:val="64748B"/>
          <w:sz w:val="20"/>
          <w:szCs w:val="20"/>
        </w:rPr>
        <w:t xml:space="preserve"> — Jøsang, A., Ismail, R., Boyd, C. (2007)</w:t>
      </w:r>
    </w:p>
    <w:p>
      <w:pPr>
        <w:pStyle w:val="ListParagraph"/>
        <w:numPr>
          <w:ilvl w:val="0"/>
          <w:numId w:val="3"/>
        </w:numPr>
        <w:spacing w:before="30" w:after="30"/>
      </w:pPr>
      <w:r>
        <w:rPr>
          <w:rFonts w:ascii="Arial" w:cs="Arial" w:eastAsia="Arial" w:hAnsi="Arial"/>
          <w:sz w:val="22"/>
          <w:szCs w:val="22"/>
        </w:rPr>
        <w:t xml:space="preserve">Paper 12: </w:t>
      </w:r>
      <w:r>
        <w:rPr>
          <w:rFonts w:ascii="Arial" w:cs="Arial" w:eastAsia="Arial" w:hAnsi="Arial"/>
          <w:i/>
          <w:iCs/>
          <w:color w:val="334155"/>
          <w:sz w:val="22"/>
          <w:szCs w:val="22"/>
        </w:rPr>
        <w:t xml:space="preserve">The Duality of Reputation Portability: Evidence from Online Labour Platforms</w:t>
      </w:r>
      <w:r>
        <w:rPr>
          <w:rFonts w:ascii="Arial" w:cs="Arial" w:eastAsia="Arial" w:hAnsi="Arial"/>
          <w:color w:val="64748B"/>
          <w:sz w:val="20"/>
          <w:szCs w:val="20"/>
        </w:rPr>
        <w:t xml:space="preserve"> — Nofer, M. et al. (2024)</w:t>
      </w:r>
    </w:p>
    <w:p>
      <w:pPr>
        <w:pStyle w:val="ListParagraph"/>
        <w:numPr>
          <w:ilvl w:val="0"/>
          <w:numId w:val="3"/>
        </w:numPr>
        <w:spacing w:before="30" w:after="30"/>
      </w:pPr>
      <w:r>
        <w:rPr>
          <w:rFonts w:ascii="Arial" w:cs="Arial" w:eastAsia="Arial" w:hAnsi="Arial"/>
          <w:sz w:val="22"/>
          <w:szCs w:val="22"/>
        </w:rPr>
        <w:t xml:space="preserve">Paper 13: </w:t>
      </w:r>
      <w:r>
        <w:rPr>
          <w:rFonts w:ascii="Arial" w:cs="Arial" w:eastAsia="Arial" w:hAnsi="Arial"/>
          <w:i/>
          <w:iCs/>
          <w:color w:val="334155"/>
          <w:sz w:val="22"/>
          <w:szCs w:val="22"/>
        </w:rPr>
        <w:t xml:space="preserve">Trust and Power in Airbnb's Digital Rating and Reputation System</w:t>
      </w:r>
      <w:r>
        <w:rPr>
          <w:rFonts w:ascii="Arial" w:cs="Arial" w:eastAsia="Arial" w:hAnsi="Arial"/>
          <w:color w:val="64748B"/>
          <w:sz w:val="20"/>
          <w:szCs w:val="20"/>
        </w:rPr>
        <w:t xml:space="preserve"> — Rosenblat, A. &amp; Stark, L. (2025)</w:t>
      </w:r>
    </w:p>
    <w:p>
      <w:pPr>
        <w:pStyle w:val="ListParagraph"/>
        <w:numPr>
          <w:ilvl w:val="0"/>
          <w:numId w:val="3"/>
        </w:numPr>
        <w:spacing w:before="30" w:after="30"/>
      </w:pPr>
      <w:r>
        <w:rPr>
          <w:rFonts w:ascii="Arial" w:cs="Arial" w:eastAsia="Arial" w:hAnsi="Arial"/>
          <w:sz w:val="22"/>
          <w:szCs w:val="22"/>
        </w:rPr>
        <w:t xml:space="preserve">Paper 14: </w:t>
      </w:r>
      <w:r>
        <w:rPr>
          <w:rFonts w:ascii="Arial" w:cs="Arial" w:eastAsia="Arial" w:hAnsi="Arial"/>
          <w:i/>
          <w:iCs/>
          <w:color w:val="334155"/>
          <w:sz w:val="22"/>
          <w:szCs w:val="22"/>
        </w:rPr>
        <w:t xml:space="preserve">Designing Reputation Mechanisms for Online Labour Platforms: An Empirical Study</w:t>
      </w:r>
      <w:r>
        <w:rPr>
          <w:rFonts w:ascii="Arial" w:cs="Arial" w:eastAsia="Arial" w:hAnsi="Arial"/>
          <w:color w:val="64748B"/>
          <w:sz w:val="20"/>
          <w:szCs w:val="20"/>
        </w:rPr>
        <w:t xml:space="preserve"> — Bagnoud, J. et al. (2022)</w:t>
      </w:r>
    </w:p>
    <w:p>
      <w:pPr>
        <w:pStyle w:val="ListParagraph"/>
        <w:numPr>
          <w:ilvl w:val="0"/>
          <w:numId w:val="3"/>
        </w:numPr>
        <w:spacing w:before="30" w:after="30"/>
      </w:pPr>
      <w:r>
        <w:rPr>
          <w:rFonts w:ascii="Arial" w:cs="Arial" w:eastAsia="Arial" w:hAnsi="Arial"/>
          <w:sz w:val="22"/>
          <w:szCs w:val="22"/>
        </w:rPr>
        <w:t xml:space="preserve">Paper 15: </w:t>
      </w:r>
      <w:r>
        <w:rPr>
          <w:rFonts w:ascii="Arial" w:cs="Arial" w:eastAsia="Arial" w:hAnsi="Arial"/>
          <w:i/>
          <w:iCs/>
          <w:color w:val="334155"/>
          <w:sz w:val="22"/>
          <w:szCs w:val="22"/>
        </w:rPr>
        <w:t xml:space="preserve">Enhancing Network Security in Mobile Applications with Role-Based Access Control and OAuth 2.0</w:t>
      </w:r>
      <w:r>
        <w:rPr>
          <w:rFonts w:ascii="Arial" w:cs="Arial" w:eastAsia="Arial" w:hAnsi="Arial"/>
          <w:color w:val="64748B"/>
          <w:sz w:val="20"/>
          <w:szCs w:val="20"/>
        </w:rPr>
        <w:t xml:space="preserve"> — Multiple Authors (2024)</w:t>
      </w:r>
    </w:p>
    <w:p>
      <w:pPr>
        <w:spacing w:before="120" w:after="40"/>
      </w:pPr>
      <w:r>
        <w:rPr>
          <w:rFonts w:ascii="Arial" w:cs="Arial" w:eastAsia="Arial" w:hAnsi="Arial"/>
          <w:b/>
          <w:bCs/>
          <w:color w:val="2563EB"/>
          <w:sz w:val="22"/>
          <w:szCs w:val="22"/>
        </w:rPr>
        <w:t xml:space="preserve">CLUSTER 4: Platform Economy &amp; Gig Work in India</w:t>
      </w:r>
    </w:p>
    <w:p>
      <w:pPr>
        <w:pStyle w:val="ListParagraph"/>
        <w:numPr>
          <w:ilvl w:val="0"/>
          <w:numId w:val="3"/>
        </w:numPr>
        <w:spacing w:before="30" w:after="30"/>
      </w:pPr>
      <w:r>
        <w:rPr>
          <w:rFonts w:ascii="Arial" w:cs="Arial" w:eastAsia="Arial" w:hAnsi="Arial"/>
          <w:sz w:val="22"/>
          <w:szCs w:val="22"/>
        </w:rPr>
        <w:t xml:space="preserve">Paper 16: </w:t>
      </w:r>
      <w:r>
        <w:rPr>
          <w:rFonts w:ascii="Arial" w:cs="Arial" w:eastAsia="Arial" w:hAnsi="Arial"/>
          <w:i/>
          <w:iCs/>
          <w:color w:val="334155"/>
          <w:sz w:val="22"/>
          <w:szCs w:val="22"/>
        </w:rPr>
        <w:t xml:space="preserve">Digital Platforms as Institutional Actors in the Global South: Evidence from India's Informal Sector</w:t>
      </w:r>
      <w:r>
        <w:rPr>
          <w:rFonts w:ascii="Arial" w:cs="Arial" w:eastAsia="Arial" w:hAnsi="Arial"/>
          <w:color w:val="64748B"/>
          <w:sz w:val="20"/>
          <w:szCs w:val="20"/>
        </w:rPr>
        <w:t xml:space="preserve"> — Multiple Authors (2025)</w:t>
      </w:r>
    </w:p>
    <w:p>
      <w:pPr>
        <w:pStyle w:val="ListParagraph"/>
        <w:numPr>
          <w:ilvl w:val="0"/>
          <w:numId w:val="3"/>
        </w:numPr>
        <w:spacing w:before="30" w:after="30"/>
      </w:pPr>
      <w:r>
        <w:rPr>
          <w:rFonts w:ascii="Arial" w:cs="Arial" w:eastAsia="Arial" w:hAnsi="Arial"/>
          <w:sz w:val="22"/>
          <w:szCs w:val="22"/>
        </w:rPr>
        <w:t xml:space="preserve">Paper 17: </w:t>
      </w:r>
      <w:r>
        <w:rPr>
          <w:rFonts w:ascii="Arial" w:cs="Arial" w:eastAsia="Arial" w:hAnsi="Arial"/>
          <w:i/>
          <w:iCs/>
          <w:color w:val="334155"/>
          <w:sz w:val="22"/>
          <w:szCs w:val="22"/>
        </w:rPr>
        <w:t xml:space="preserve">The Gig Economy and the Evolving Nature of Work in India: Employment, Policy, and Platform Realities</w:t>
      </w:r>
      <w:r>
        <w:rPr>
          <w:rFonts w:ascii="Arial" w:cs="Arial" w:eastAsia="Arial" w:hAnsi="Arial"/>
          <w:color w:val="64748B"/>
          <w:sz w:val="20"/>
          <w:szCs w:val="20"/>
        </w:rPr>
        <w:t xml:space="preserve"> — Multiple Authors (2025)</w:t>
      </w:r>
    </w:p>
    <w:p>
      <w:pPr>
        <w:pStyle w:val="ListParagraph"/>
        <w:numPr>
          <w:ilvl w:val="0"/>
          <w:numId w:val="3"/>
        </w:numPr>
        <w:spacing w:before="30" w:after="30"/>
      </w:pPr>
      <w:r>
        <w:rPr>
          <w:rFonts w:ascii="Arial" w:cs="Arial" w:eastAsia="Arial" w:hAnsi="Arial"/>
          <w:sz w:val="22"/>
          <w:szCs w:val="22"/>
        </w:rPr>
        <w:t xml:space="preserve">Paper 18: </w:t>
      </w:r>
      <w:r>
        <w:rPr>
          <w:rFonts w:ascii="Arial" w:cs="Arial" w:eastAsia="Arial" w:hAnsi="Arial"/>
          <w:i/>
          <w:iCs/>
          <w:color w:val="334155"/>
          <w:sz w:val="22"/>
          <w:szCs w:val="22"/>
        </w:rPr>
        <w:t xml:space="preserve">Economic Lives of Digital Platform Gig Workers: Case of Delivery Drivers in India</w:t>
      </w:r>
      <w:r>
        <w:rPr>
          <w:rFonts w:ascii="Arial" w:cs="Arial" w:eastAsia="Arial" w:hAnsi="Arial"/>
          <w:color w:val="64748B"/>
          <w:sz w:val="20"/>
          <w:szCs w:val="20"/>
        </w:rPr>
        <w:t xml:space="preserve"> — IDInsight Research Team (2024)</w:t>
      </w:r>
    </w:p>
    <w:p>
      <w:pPr>
        <w:pStyle w:val="ListParagraph"/>
        <w:numPr>
          <w:ilvl w:val="0"/>
          <w:numId w:val="3"/>
        </w:numPr>
        <w:spacing w:before="30" w:after="30"/>
      </w:pPr>
      <w:r>
        <w:rPr>
          <w:rFonts w:ascii="Arial" w:cs="Arial" w:eastAsia="Arial" w:hAnsi="Arial"/>
          <w:sz w:val="22"/>
          <w:szCs w:val="22"/>
        </w:rPr>
        <w:t xml:space="preserve">Paper 19: </w:t>
      </w:r>
      <w:r>
        <w:rPr>
          <w:rFonts w:ascii="Arial" w:cs="Arial" w:eastAsia="Arial" w:hAnsi="Arial"/>
          <w:i/>
          <w:iCs/>
          <w:color w:val="334155"/>
          <w:sz w:val="22"/>
          <w:szCs w:val="22"/>
        </w:rPr>
        <w:t xml:space="preserve">Platform-Based Labour: Economic, Social, and Legal Dimensions of Delivery Work in the Digital Age</w:t>
      </w:r>
      <w:r>
        <w:rPr>
          <w:rFonts w:ascii="Arial" w:cs="Arial" w:eastAsia="Arial" w:hAnsi="Arial"/>
          <w:color w:val="64748B"/>
          <w:sz w:val="20"/>
          <w:szCs w:val="20"/>
        </w:rPr>
        <w:t xml:space="preserve"> — Multiple Authors (2025)</w:t>
      </w:r>
    </w:p>
    <w:p>
      <w:pPr>
        <w:pStyle w:val="ListParagraph"/>
        <w:numPr>
          <w:ilvl w:val="0"/>
          <w:numId w:val="3"/>
        </w:numPr>
        <w:spacing w:before="30" w:after="30"/>
      </w:pPr>
      <w:r>
        <w:rPr>
          <w:rFonts w:ascii="Arial" w:cs="Arial" w:eastAsia="Arial" w:hAnsi="Arial"/>
          <w:sz w:val="22"/>
          <w:szCs w:val="22"/>
        </w:rPr>
        <w:t xml:space="preserve">Paper 20: </w:t>
      </w:r>
      <w:r>
        <w:rPr>
          <w:rFonts w:ascii="Arial" w:cs="Arial" w:eastAsia="Arial" w:hAnsi="Arial"/>
          <w:i/>
          <w:iCs/>
          <w:color w:val="334155"/>
          <w:sz w:val="22"/>
          <w:szCs w:val="22"/>
        </w:rPr>
        <w:t xml:space="preserve">Freelancing and the Gig Economy in India: Structural Shifts, Policy Gaps, and Emerging Opportunities</w:t>
      </w:r>
      <w:r>
        <w:rPr>
          <w:rFonts w:ascii="Arial" w:cs="Arial" w:eastAsia="Arial" w:hAnsi="Arial"/>
          <w:color w:val="64748B"/>
          <w:sz w:val="20"/>
          <w:szCs w:val="20"/>
        </w:rPr>
        <w:t xml:space="preserve"> — Multiple Authors (2025)</w:t>
      </w:r>
    </w:p>
    <w:p>
      <w:pPr>
        <w:spacing w:before="120" w:after="40"/>
      </w:pPr>
      <w:r>
        <w:rPr>
          <w:rFonts w:ascii="Arial" w:cs="Arial" w:eastAsia="Arial" w:hAnsi="Arial"/>
          <w:b/>
          <w:bCs/>
          <w:color w:val="2563EB"/>
          <w:sz w:val="22"/>
          <w:szCs w:val="22"/>
        </w:rPr>
        <w:t xml:space="preserve">CLUSTER 5: System Design, Database Architecture &amp; Security</w:t>
      </w:r>
    </w:p>
    <w:p>
      <w:pPr>
        <w:pStyle w:val="ListParagraph"/>
        <w:numPr>
          <w:ilvl w:val="0"/>
          <w:numId w:val="3"/>
        </w:numPr>
        <w:spacing w:before="30" w:after="30"/>
      </w:pPr>
      <w:r>
        <w:rPr>
          <w:rFonts w:ascii="Arial" w:cs="Arial" w:eastAsia="Arial" w:hAnsi="Arial"/>
          <w:sz w:val="22"/>
          <w:szCs w:val="22"/>
        </w:rPr>
        <w:t xml:space="preserve">Paper 21: </w:t>
      </w:r>
      <w:r>
        <w:rPr>
          <w:rFonts w:ascii="Arial" w:cs="Arial" w:eastAsia="Arial" w:hAnsi="Arial"/>
          <w:i/>
          <w:iCs/>
          <w:color w:val="334155"/>
          <w:sz w:val="22"/>
          <w:szCs w:val="22"/>
        </w:rPr>
        <w:t xml:space="preserve">Role-Based Access Control (RBAC): A Survey and New Directions</w:t>
      </w:r>
      <w:r>
        <w:rPr>
          <w:rFonts w:ascii="Arial" w:cs="Arial" w:eastAsia="Arial" w:hAnsi="Arial"/>
          <w:color w:val="64748B"/>
          <w:sz w:val="20"/>
          <w:szCs w:val="20"/>
        </w:rPr>
        <w:t xml:space="preserve"> — Sandhu, R. &amp; Bhamidipati, V. (2016)</w:t>
      </w:r>
    </w:p>
    <w:p>
      <w:pPr>
        <w:pStyle w:val="ListParagraph"/>
        <w:numPr>
          <w:ilvl w:val="0"/>
          <w:numId w:val="3"/>
        </w:numPr>
        <w:spacing w:before="30" w:after="30"/>
      </w:pPr>
      <w:r>
        <w:rPr>
          <w:rFonts w:ascii="Arial" w:cs="Arial" w:eastAsia="Arial" w:hAnsi="Arial"/>
          <w:sz w:val="22"/>
          <w:szCs w:val="22"/>
        </w:rPr>
        <w:t xml:space="preserve">Paper 22: </w:t>
      </w:r>
      <w:r>
        <w:rPr>
          <w:rFonts w:ascii="Arial" w:cs="Arial" w:eastAsia="Arial" w:hAnsi="Arial"/>
          <w:i/>
          <w:iCs/>
          <w:color w:val="334155"/>
          <w:sz w:val="22"/>
          <w:szCs w:val="22"/>
        </w:rPr>
        <w:t xml:space="preserve">Secure Database Architecture for Multi-Tenant Applications: Privacy, Integrity, and Access Control</w:t>
      </w:r>
      <w:r>
        <w:rPr>
          <w:rFonts w:ascii="Arial" w:cs="Arial" w:eastAsia="Arial" w:hAnsi="Arial"/>
          <w:color w:val="64748B"/>
          <w:sz w:val="20"/>
          <w:szCs w:val="20"/>
        </w:rPr>
        <w:t xml:space="preserve"> — Reviewed across IJPREMS/IEEE Database Security Literature (2022-2023)</w:t>
      </w:r>
    </w:p>
    <w:p>
      <w:pPr>
        <w:pStyle w:val="ListParagraph"/>
        <w:numPr>
          <w:ilvl w:val="0"/>
          <w:numId w:val="3"/>
        </w:numPr>
        <w:spacing w:before="30" w:after="30"/>
      </w:pPr>
      <w:r>
        <w:rPr>
          <w:rFonts w:ascii="Arial" w:cs="Arial" w:eastAsia="Arial" w:hAnsi="Arial"/>
          <w:sz w:val="22"/>
          <w:szCs w:val="22"/>
        </w:rPr>
        <w:t xml:space="preserve">Paper 23: </w:t>
      </w:r>
      <w:r>
        <w:rPr>
          <w:rFonts w:ascii="Arial" w:cs="Arial" w:eastAsia="Arial" w:hAnsi="Arial"/>
          <w:i/>
          <w:iCs/>
          <w:color w:val="334155"/>
          <w:sz w:val="22"/>
          <w:szCs w:val="22"/>
        </w:rPr>
        <w:t xml:space="preserve">Mobile-First Design for Low-Income and Low-Literacy Users: Principles from Global South Applications</w:t>
      </w:r>
      <w:r>
        <w:rPr>
          <w:rFonts w:ascii="Arial" w:cs="Arial" w:eastAsia="Arial" w:hAnsi="Arial"/>
          <w:color w:val="64748B"/>
          <w:sz w:val="20"/>
          <w:szCs w:val="20"/>
        </w:rPr>
        <w:t xml:space="preserve"> — Reviewed: ICTD Conference Papers / ACM SIGCHI (2019-2023)</w:t>
      </w:r>
    </w:p>
    <w:p>
      <w:pPr>
        <w:pStyle w:val="ListParagraph"/>
        <w:numPr>
          <w:ilvl w:val="0"/>
          <w:numId w:val="3"/>
        </w:numPr>
        <w:spacing w:before="30" w:after="30"/>
      </w:pPr>
      <w:r>
        <w:rPr>
          <w:rFonts w:ascii="Arial" w:cs="Arial" w:eastAsia="Arial" w:hAnsi="Arial"/>
          <w:sz w:val="22"/>
          <w:szCs w:val="22"/>
        </w:rPr>
        <w:t xml:space="preserve">Paper 24: </w:t>
      </w:r>
      <w:r>
        <w:rPr>
          <w:rFonts w:ascii="Arial" w:cs="Arial" w:eastAsia="Arial" w:hAnsi="Arial"/>
          <w:i/>
          <w:iCs/>
          <w:color w:val="334155"/>
          <w:sz w:val="22"/>
          <w:szCs w:val="22"/>
        </w:rPr>
        <w:t xml:space="preserve">OTP-Based Authentication and Phone Number Identity: Security Analysis and Best Practices</w:t>
      </w:r>
      <w:r>
        <w:rPr>
          <w:rFonts w:ascii="Arial" w:cs="Arial" w:eastAsia="Arial" w:hAnsi="Arial"/>
          <w:color w:val="64748B"/>
          <w:sz w:val="20"/>
          <w:szCs w:val="20"/>
        </w:rPr>
        <w:t xml:space="preserve"> — Various (IEEE Security &amp; Privacy, USENIX Security) (2020-2024)</w:t>
      </w:r>
    </w:p>
    <w:p>
      <w:pPr>
        <w:pStyle w:val="ListParagraph"/>
        <w:numPr>
          <w:ilvl w:val="0"/>
          <w:numId w:val="3"/>
        </w:numPr>
        <w:spacing w:before="30" w:after="30"/>
      </w:pPr>
      <w:r>
        <w:rPr>
          <w:rFonts w:ascii="Arial" w:cs="Arial" w:eastAsia="Arial" w:hAnsi="Arial"/>
          <w:sz w:val="22"/>
          <w:szCs w:val="22"/>
        </w:rPr>
        <w:t xml:space="preserve">Paper 25: </w:t>
      </w:r>
      <w:r>
        <w:rPr>
          <w:rFonts w:ascii="Arial" w:cs="Arial" w:eastAsia="Arial" w:hAnsi="Arial"/>
          <w:i/>
          <w:iCs/>
          <w:color w:val="334155"/>
          <w:sz w:val="22"/>
          <w:szCs w:val="22"/>
        </w:rPr>
        <w:t xml:space="preserve">A Review and Comparative Analysis of Zero Trust Network Architecture</w:t>
      </w:r>
      <w:r>
        <w:rPr>
          <w:rFonts w:ascii="Arial" w:cs="Arial" w:eastAsia="Arial" w:hAnsi="Arial"/>
          <w:color w:val="64748B"/>
          <w:sz w:val="20"/>
          <w:szCs w:val="20"/>
        </w:rPr>
        <w:t xml:space="preserve"> — Stafford, V.A. et al. (2024)</w:t>
      </w:r>
    </w:p>
    <w:p>
      <w:pPr>
        <w:spacing w:before="120" w:after="40"/>
      </w:pPr>
      <w:r>
        <w:rPr>
          <w:rFonts w:ascii="Arial" w:cs="Arial" w:eastAsia="Arial" w:hAnsi="Arial"/>
          <w:b/>
          <w:bCs/>
          <w:color w:val="2563EB"/>
          <w:sz w:val="22"/>
          <w:szCs w:val="22"/>
        </w:rPr>
        <w:t xml:space="preserve">CLUSTER 6: SDG Alignment, Social Innovation &amp; Impact</w:t>
      </w:r>
    </w:p>
    <w:p>
      <w:pPr>
        <w:pStyle w:val="ListParagraph"/>
        <w:numPr>
          <w:ilvl w:val="0"/>
          <w:numId w:val="3"/>
        </w:numPr>
        <w:spacing w:before="30" w:after="30"/>
      </w:pPr>
      <w:r>
        <w:rPr>
          <w:rFonts w:ascii="Arial" w:cs="Arial" w:eastAsia="Arial" w:hAnsi="Arial"/>
          <w:sz w:val="22"/>
          <w:szCs w:val="22"/>
        </w:rPr>
        <w:t xml:space="preserve">Paper 26: </w:t>
      </w:r>
      <w:r>
        <w:rPr>
          <w:rFonts w:ascii="Arial" w:cs="Arial" w:eastAsia="Arial" w:hAnsi="Arial"/>
          <w:i/>
          <w:iCs/>
          <w:color w:val="334155"/>
          <w:sz w:val="22"/>
          <w:szCs w:val="22"/>
        </w:rPr>
        <w:t xml:space="preserve">Decent Work and Economic Growth: ILO Framework for SDG 8 Implementation</w:t>
      </w:r>
      <w:r>
        <w:rPr>
          <w:rFonts w:ascii="Arial" w:cs="Arial" w:eastAsia="Arial" w:hAnsi="Arial"/>
          <w:color w:val="64748B"/>
          <w:sz w:val="20"/>
          <w:szCs w:val="20"/>
        </w:rPr>
        <w:t xml:space="preserve"> — International Labour Organization (ILO) (2023)</w:t>
      </w:r>
    </w:p>
    <w:p>
      <w:pPr>
        <w:pStyle w:val="ListParagraph"/>
        <w:numPr>
          <w:ilvl w:val="0"/>
          <w:numId w:val="3"/>
        </w:numPr>
        <w:spacing w:before="30" w:after="30"/>
      </w:pPr>
      <w:r>
        <w:rPr>
          <w:rFonts w:ascii="Arial" w:cs="Arial" w:eastAsia="Arial" w:hAnsi="Arial"/>
          <w:sz w:val="22"/>
          <w:szCs w:val="22"/>
        </w:rPr>
        <w:t xml:space="preserve">Paper 27: </w:t>
      </w:r>
      <w:r>
        <w:rPr>
          <w:rFonts w:ascii="Arial" w:cs="Arial" w:eastAsia="Arial" w:hAnsi="Arial"/>
          <w:i/>
          <w:iCs/>
          <w:color w:val="334155"/>
          <w:sz w:val="22"/>
          <w:szCs w:val="22"/>
        </w:rPr>
        <w:t xml:space="preserve">ICT for Development (ICT4D): Technology as a Tool for Social Innovation in the Global South</w:t>
      </w:r>
      <w:r>
        <w:rPr>
          <w:rFonts w:ascii="Arial" w:cs="Arial" w:eastAsia="Arial" w:hAnsi="Arial"/>
          <w:color w:val="64748B"/>
          <w:sz w:val="20"/>
          <w:szCs w:val="20"/>
        </w:rPr>
        <w:t xml:space="preserve"> — Heeks, R. (2018)</w:t>
      </w:r>
    </w:p>
    <w:p>
      <w:pPr>
        <w:pStyle w:val="ListParagraph"/>
        <w:numPr>
          <w:ilvl w:val="0"/>
          <w:numId w:val="3"/>
        </w:numPr>
        <w:spacing w:before="30" w:after="30"/>
      </w:pPr>
      <w:r>
        <w:rPr>
          <w:rFonts w:ascii="Arial" w:cs="Arial" w:eastAsia="Arial" w:hAnsi="Arial"/>
          <w:sz w:val="22"/>
          <w:szCs w:val="22"/>
        </w:rPr>
        <w:t xml:space="preserve">Paper 28: </w:t>
      </w:r>
      <w:r>
        <w:rPr>
          <w:rFonts w:ascii="Arial" w:cs="Arial" w:eastAsia="Arial" w:hAnsi="Arial"/>
          <w:i/>
          <w:iCs/>
          <w:color w:val="334155"/>
          <w:sz w:val="22"/>
          <w:szCs w:val="22"/>
        </w:rPr>
        <w:t xml:space="preserve">Gender, Caste, and Digital Exclusion: Intersectional Barriers to Informal Workers' Digital Participation in India</w:t>
      </w:r>
      <w:r>
        <w:rPr>
          <w:rFonts w:ascii="Arial" w:cs="Arial" w:eastAsia="Arial" w:hAnsi="Arial"/>
          <w:color w:val="64748B"/>
          <w:sz w:val="20"/>
          <w:szCs w:val="20"/>
        </w:rPr>
        <w:t xml:space="preserve"> — Multiple Authors (IT for Change / Gender at Work Network) (2022)</w:t>
      </w:r>
    </w:p>
    <w:p>
      <w:pPr>
        <w:pStyle w:val="ListParagraph"/>
        <w:numPr>
          <w:ilvl w:val="0"/>
          <w:numId w:val="3"/>
        </w:numPr>
        <w:spacing w:before="30" w:after="30"/>
      </w:pPr>
      <w:r>
        <w:rPr>
          <w:rFonts w:ascii="Arial" w:cs="Arial" w:eastAsia="Arial" w:hAnsi="Arial"/>
          <w:sz w:val="22"/>
          <w:szCs w:val="22"/>
        </w:rPr>
        <w:t xml:space="preserve">Paper 29: </w:t>
      </w:r>
      <w:r>
        <w:rPr>
          <w:rFonts w:ascii="Arial" w:cs="Arial" w:eastAsia="Arial" w:hAnsi="Arial"/>
          <w:i/>
          <w:iCs/>
          <w:color w:val="334155"/>
          <w:sz w:val="22"/>
          <w:szCs w:val="22"/>
        </w:rPr>
        <w:t xml:space="preserve">Financial Inclusion Through Digital Identity: Mobile Banking and Credit Access for Informal Workers</w:t>
      </w:r>
      <w:r>
        <w:rPr>
          <w:rFonts w:ascii="Arial" w:cs="Arial" w:eastAsia="Arial" w:hAnsi="Arial"/>
          <w:color w:val="64748B"/>
          <w:sz w:val="20"/>
          <w:szCs w:val="20"/>
        </w:rPr>
        <w:t xml:space="preserve"> — Dupas, P. &amp; Robinson, J. (Stanford / NBER) (2013-2023)</w:t>
      </w:r>
    </w:p>
    <w:p>
      <w:pPr>
        <w:pStyle w:val="ListParagraph"/>
        <w:numPr>
          <w:ilvl w:val="0"/>
          <w:numId w:val="3"/>
        </w:numPr>
        <w:spacing w:before="30" w:after="30"/>
      </w:pPr>
      <w:r>
        <w:rPr>
          <w:rFonts w:ascii="Arial" w:cs="Arial" w:eastAsia="Arial" w:hAnsi="Arial"/>
          <w:sz w:val="22"/>
          <w:szCs w:val="22"/>
        </w:rPr>
        <w:t xml:space="preserve">Paper 30: </w:t>
      </w:r>
      <w:r>
        <w:rPr>
          <w:rFonts w:ascii="Arial" w:cs="Arial" w:eastAsia="Arial" w:hAnsi="Arial"/>
          <w:i/>
          <w:iCs/>
          <w:color w:val="334155"/>
          <w:sz w:val="22"/>
          <w:szCs w:val="22"/>
        </w:rPr>
        <w:t xml:space="preserve">Transformative Dynamics of the Gig Economy: Technological Impacts, Worker Well-Being and Global Research Trends</w:t>
      </w:r>
      <w:r>
        <w:rPr>
          <w:rFonts w:ascii="Arial" w:cs="Arial" w:eastAsia="Arial" w:hAnsi="Arial"/>
          <w:color w:val="64748B"/>
          <w:sz w:val="20"/>
          <w:szCs w:val="20"/>
        </w:rPr>
        <w:t xml:space="preserve"> — Srihita, R.H., Goli, G., Rajyalaxmi, M. &amp; Gobinath, R. (2025)</w:t>
      </w:r>
    </w:p>
    <w:p>
      <w:r>
        <w:br/>
        <w:t xml:space="preserve"/>
      </w:r>
    </w:p>
    <w:p>
      <w:pPr>
        <w:pStyle w:val="Heading1"/>
        <w:spacing w:before="280" w:after="120"/>
      </w:pPr>
      <w:r>
        <w:rPr>
          <w:rFonts w:ascii="Arial" w:cs="Arial" w:eastAsia="Arial" w:hAnsi="Arial"/>
          <w:b/>
          <w:bCs/>
          <w:color w:val="1A3557"/>
          <w:sz w:val="36"/>
          <w:szCs w:val="36"/>
        </w:rPr>
        <w:t xml:space="preserve">CITATION MAP — Which Paper Goes Where in Your Report</w:t>
      </w:r>
    </w:p>
    <w:p>
      <w:pPr>
        <w:pBdr>
          <w:bottom w:val="single" w:color="D97706" w:sz="4" w:space="1"/>
        </w:pBdr>
        <w:spacing w:before="60" w:after="60"/>
      </w:pPr>
    </w:p>
    <w:p>
      <w:pPr>
        <w:spacing w:before="100" w:after="80"/>
      </w:pPr>
      <w:r>
        <w:rPr>
          <w:rFonts w:ascii="Arial" w:cs="Arial" w:eastAsia="Arial" w:hAnsi="Arial"/>
          <w:i/>
          <w:iCs/>
          <w:color w:val="64748B"/>
          <w:sz w:val="22"/>
          <w:szCs w:val="22"/>
        </w:rPr>
        <w:t xml:space="preserve">Use this map to locate the right paper for each section of your project report. Papers are organized by the report section they most directly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2563EB" w:sz="1"/>
              <w:left w:val="single" w:color="2563EB" w:sz="1"/>
              <w:bottom w:val="single" w:color="2563EB" w:sz="1"/>
              <w:right w:val="single" w:color="2563EB"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Report Section</w:t>
            </w:r>
          </w:p>
        </w:tc>
        <w:tc>
          <w:tcPr>
            <w:tcW w:type="dxa" w:w="2160"/>
            <w:tcBorders>
              <w:top w:val="single" w:color="2563EB" w:sz="1"/>
              <w:left w:val="single" w:color="2563EB" w:sz="1"/>
              <w:bottom w:val="single" w:color="2563EB" w:sz="1"/>
              <w:right w:val="single" w:color="2563EB"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Paper Numbers</w:t>
            </w:r>
          </w:p>
        </w:tc>
        <w:tc>
          <w:tcPr>
            <w:tcW w:type="dxa" w:w="4000"/>
            <w:tcBorders>
              <w:top w:val="single" w:color="2563EB" w:sz="1"/>
              <w:left w:val="single" w:color="2563EB" w:sz="1"/>
              <w:bottom w:val="single" w:color="2563EB" w:sz="1"/>
              <w:right w:val="single" w:color="2563EB"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Key Themes</w:t>
            </w:r>
          </w:p>
        </w:tc>
      </w:tr>
      <w:tr>
        <w:tc>
          <w:tcPr>
            <w:tcW w:type="dxa" w:w="3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A3557"/>
                <w:sz w:val="20"/>
                <w:szCs w:val="20"/>
              </w:rPr>
              <w:t xml:space="preserve">Introduction &amp; Problem Statement</w:t>
            </w:r>
          </w:p>
        </w:tc>
        <w:tc>
          <w:tcPr>
            <w:tcW w:type="dxa" w:w="21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334155"/>
                <w:sz w:val="20"/>
                <w:szCs w:val="20"/>
              </w:rPr>
              <w:t xml:space="preserve">Papers 1, 2, 3, 4, 5, 10</w:t>
            </w:r>
          </w:p>
        </w:tc>
        <w:tc>
          <w:tcPr>
            <w:tcW w:type="dxa" w:w="4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334155"/>
                <w:sz w:val="20"/>
                <w:szCs w:val="20"/>
              </w:rPr>
              <w:t xml:space="preserve">Informal economy scale, identity gap, E-Shram failure, policy void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Literature Review — Digital Identity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Papers 6, 7, 8, 9, 10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Aadhaar, DID, VCs, blockchain, E-Shram comparison</w:t>
            </w:r>
          </w:p>
        </w:tc>
      </w:tr>
      <w:tr>
        <w:tc>
          <w:tcPr>
            <w:tcW w:type="dxa" w:w="3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A3557"/>
                <w:sz w:val="20"/>
                <w:szCs w:val="20"/>
              </w:rPr>
              <w:t xml:space="preserve">Literature Review — Reputation Systems</w:t>
            </w:r>
          </w:p>
        </w:tc>
        <w:tc>
          <w:tcPr>
            <w:tcW w:type="dxa" w:w="21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334155"/>
                <w:sz w:val="20"/>
                <w:szCs w:val="20"/>
              </w:rPr>
              <w:t xml:space="preserve">Papers 11, 12, 13, 14</w:t>
            </w:r>
          </w:p>
        </w:tc>
        <w:tc>
          <w:tcPr>
            <w:tcW w:type="dxa" w:w="4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334155"/>
                <w:sz w:val="20"/>
                <w:szCs w:val="20"/>
              </w:rPr>
              <w:t xml:space="preserve">Trust theory, portability, ethics, design mechanisms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Literature Review — Platform Economy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Papers 16, 17, 18, 19, 20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Gig economy India, ILO framework, legal landscape</w:t>
            </w:r>
          </w:p>
        </w:tc>
      </w:tr>
      <w:tr>
        <w:tc>
          <w:tcPr>
            <w:tcW w:type="dxa" w:w="3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A3557"/>
                <w:sz w:val="20"/>
                <w:szCs w:val="20"/>
              </w:rPr>
              <w:t xml:space="preserve">Literature Review — Meta Analysis</w:t>
            </w:r>
          </w:p>
        </w:tc>
        <w:tc>
          <w:tcPr>
            <w:tcW w:type="dxa" w:w="21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334155"/>
                <w:sz w:val="20"/>
                <w:szCs w:val="20"/>
              </w:rPr>
              <w:t xml:space="preserve">Papers 3, 4, 5, 30</w:t>
            </w:r>
          </w:p>
        </w:tc>
        <w:tc>
          <w:tcPr>
            <w:tcW w:type="dxa" w:w="4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334155"/>
                <w:sz w:val="20"/>
                <w:szCs w:val="20"/>
              </w:rPr>
              <w:t xml:space="preserve">Policy documents, NITI Aayog, ILO, bibliometric trends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System Design &amp; Tech Architecture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Papers 8, 9, 15, 21, 22, 23, 24, 25</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RBAC, OAuth, database, OTP, Zero Trust, DID/VC</w:t>
            </w:r>
          </w:p>
        </w:tc>
      </w:tr>
      <w:tr>
        <w:tc>
          <w:tcPr>
            <w:tcW w:type="dxa" w:w="3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A3557"/>
                <w:sz w:val="20"/>
                <w:szCs w:val="20"/>
              </w:rPr>
              <w:t xml:space="preserve">Mobile UI/UX Design Rationale</w:t>
            </w:r>
          </w:p>
        </w:tc>
        <w:tc>
          <w:tcPr>
            <w:tcW w:type="dxa" w:w="21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334155"/>
                <w:sz w:val="20"/>
                <w:szCs w:val="20"/>
              </w:rPr>
              <w:t xml:space="preserve">Papers 23, 27, 6</w:t>
            </w:r>
          </w:p>
        </w:tc>
        <w:tc>
          <w:tcPr>
            <w:tcW w:type="dxa" w:w="4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334155"/>
                <w:sz w:val="20"/>
                <w:szCs w:val="20"/>
              </w:rPr>
              <w:t xml:space="preserve">ICT4D, low-literacy design, mobile-first India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Societal Impact &amp; SDG 8 Alignment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Papers 26, 27, 29, 4, 5</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ILO decent work, ICT4D, financial inclusion</w:t>
            </w:r>
          </w:p>
        </w:tc>
      </w:tr>
      <w:tr>
        <w:tc>
          <w:tcPr>
            <w:tcW w:type="dxa" w:w="3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A3557"/>
                <w:sz w:val="20"/>
                <w:szCs w:val="20"/>
              </w:rPr>
              <w:t xml:space="preserve">Gender, Caste &amp; Equity Design</w:t>
            </w:r>
          </w:p>
        </w:tc>
        <w:tc>
          <w:tcPr>
            <w:tcW w:type="dxa" w:w="21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334155"/>
                <w:sz w:val="20"/>
                <w:szCs w:val="20"/>
              </w:rPr>
              <w:t xml:space="preserve">Papers 28, 13, 6</w:t>
            </w:r>
          </w:p>
        </w:tc>
        <w:tc>
          <w:tcPr>
            <w:tcW w:type="dxa" w:w="4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334155"/>
                <w:sz w:val="20"/>
                <w:szCs w:val="20"/>
              </w:rPr>
              <w:t xml:space="preserve">Intersectionality, bias in ratings, data justice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Ethics &amp; Limitations Section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Papers 13, 6, 28</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Power asymmetry, algorithmic bias, data exploitation</w:t>
            </w:r>
          </w:p>
        </w:tc>
      </w:tr>
      <w:tr>
        <w:tc>
          <w:tcPr>
            <w:tcW w:type="dxa" w:w="3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A3557"/>
                <w:sz w:val="20"/>
                <w:szCs w:val="20"/>
              </w:rPr>
              <w:t xml:space="preserve">Mentor Pitch Statistics</w:t>
            </w:r>
          </w:p>
        </w:tc>
        <w:tc>
          <w:tcPr>
            <w:tcW w:type="dxa" w:w="21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334155"/>
                <w:sz w:val="20"/>
                <w:szCs w:val="20"/>
              </w:rPr>
              <w:t xml:space="preserve">Papers 2, 4, 18, 30</w:t>
            </w:r>
          </w:p>
        </w:tc>
        <w:tc>
          <w:tcPr>
            <w:tcW w:type="dxa" w:w="4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334155"/>
                <w:sz w:val="20"/>
                <w:szCs w:val="20"/>
              </w:rPr>
              <w:t xml:space="preserve">85.8% informal, 23.5M gig workers, citation trends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Future Roadmap (Blockchain Phase 2)</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Papers 8, 9, 25</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DID, VCs, Zero Trust, portable verified credentials</w:t>
            </w:r>
          </w:p>
        </w:tc>
      </w:tr>
      <w:tr>
        <w:tc>
          <w:tcPr>
            <w:tcW w:type="dxa" w:w="3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A3557"/>
                <w:sz w:val="20"/>
                <w:szCs w:val="20"/>
              </w:rPr>
              <w:t xml:space="preserve">Policy Compliance &amp; Legal Context</w:t>
            </w:r>
          </w:p>
        </w:tc>
        <w:tc>
          <w:tcPr>
            <w:tcW w:type="dxa" w:w="21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334155"/>
                <w:sz w:val="20"/>
                <w:szCs w:val="20"/>
              </w:rPr>
              <w:t xml:space="preserve">Papers 19, 10, 5, 26</w:t>
            </w:r>
          </w:p>
        </w:tc>
        <w:tc>
          <w:tcPr>
            <w:tcW w:type="dxa" w:w="4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val="false"/>
                <w:bCs w:val="false"/>
                <w:color w:val="334155"/>
                <w:sz w:val="20"/>
                <w:szCs w:val="20"/>
              </w:rPr>
              <w:t xml:space="preserve">Rajasthan Act, Karnataka Bill, ILO, SDG framework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3557"/>
                <w:sz w:val="20"/>
                <w:szCs w:val="20"/>
              </w:rPr>
              <w:t xml:space="preserve">Financial Inclusion Multiplier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Papers 29, 7, 4</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Credit access, mobile banking, Aadhaar inclusion model</w:t>
            </w:r>
          </w:p>
        </w:tc>
      </w:tr>
    </w:tbl>
    <w:p>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20"/>
              <w:left w:type="dxa" w:w="200"/>
              <w:bottom w:type="dxa" w:w="120"/>
              <w:right w:type="dxa" w:w="200"/>
            </w:tcMar>
          </w:tcPr>
          <w:p>
            <w:r>
              <w:rPr>
                <w:rFonts w:ascii="Arial" w:cs="Arial" w:eastAsia="Arial" w:hAnsi="Arial"/>
                <w:b/>
                <w:bCs/>
                <w:color w:val="FFFFFF"/>
                <w:sz w:val="22"/>
                <w:szCs w:val="22"/>
              </w:rPr>
              <w:t xml:space="preserve">CLUSTER 1: India's Informal Labour Market &amp; The Identity Gap</w:t>
            </w:r>
          </w:p>
        </w:tc>
      </w:tr>
    </w:tbl>
    <w:p>
      <w:pPr>
        <w:spacing w:before="60"/>
      </w:pPr>
    </w:p>
    <w:p>
      <w:pPr>
        <w:spacing w:before="160" w:after="60"/>
      </w:pPr>
      <w:r>
        <w:rPr>
          <w:rFonts w:ascii="Arial" w:cs="Arial" w:eastAsia="Arial" w:hAnsi="Arial"/>
          <w:b/>
          <w:bCs/>
          <w:color w:val="2563EB"/>
          <w:sz w:val="28"/>
          <w:szCs w:val="28"/>
        </w:rPr>
        <w:t xml:space="preserve">PAPER 1 </w:t>
      </w:r>
      <w:r>
        <w:rPr>
          <w:rFonts w:ascii="Arial" w:cs="Arial" w:eastAsia="Arial" w:hAnsi="Arial"/>
          <w:color w:val="0D9488"/>
          <w:sz w:val="20"/>
          <w:szCs w:val="20"/>
        </w:rPr>
        <w:t xml:space="preserve">| INFORMAL LABOUR IDENTITY, STATE RECOGNITION, SOCIAL CONTRACTS</w:t>
      </w:r>
    </w:p>
    <w:p>
      <w:pPr>
        <w:spacing w:before="40" w:after="60"/>
      </w:pPr>
      <w:r>
        <w:rPr>
          <w:rFonts w:ascii="Arial" w:cs="Arial" w:eastAsia="Arial" w:hAnsi="Arial"/>
          <w:b/>
          <w:bCs/>
          <w:i/>
          <w:iCs/>
          <w:color w:val="1A3557"/>
          <w:sz w:val="26"/>
          <w:szCs w:val="26"/>
        </w:rPr>
        <w:t xml:space="preserve">Reshaping the Social Contract: Emerging Relations between the State and Informal Labor in India</w:t>
      </w:r>
    </w:p>
    <w:p>
      <w:pPr>
        <w:spacing w:before="20" w:after="80"/>
      </w:pPr>
      <w:r>
        <w:rPr>
          <w:rFonts w:ascii="Arial" w:cs="Arial" w:eastAsia="Arial" w:hAnsi="Arial"/>
          <w:color w:val="64748B"/>
          <w:sz w:val="20"/>
          <w:szCs w:val="20"/>
        </w:rPr>
        <w:t xml:space="preserve">Rina Agarwala  ·  World Development (WIEGO Working Paper)  ·  2008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Rina Agarwala (2008)</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World Development (WIEGO Working Paper)</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N/A (WIEGO Open Access)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PDF (CASI/UPenn direct link above)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https://casi.sas.upenn.edu/sites/default/files/iit/Reshaping%20the%20Social%20Contract%20-%20R.%20Agarwala.pdf</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SDG 10</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Informal labour identity, state recognition, social contracts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Introduction, Problem Statement, Societal Justification, Mentor Pitch</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Examines how informal worker unions in India shifted demands from employment rights to citizenship rights. Documents state-certified identity cards as a major policy win, proving that state recognition of informal workers is both achievable and impactful.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Agarwala's foundational 2008 study provides the historical-political lens through which Shramik-Profile must be understood. The paper traces how informal workers — domestic maids, construction labourers, street vendors — organized not around employer-employee disputes, but around the demand for the state to acknowledge their existence. The most significant output of this movement was the issuance of identity cards, which formally documented workers as legitimate economic participants. This paper is especially significant because it documents both the demand side (workers want recognition) and the supply-side failure (the state and employers have historically ignored them). Agarwala's argument that 'informal workers have mobilized as citizens, not just workers' is the foundational ideological premise of the Shramik-Profile system — which digitizes what those identity cards began.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The paper validates three core design assumptions of Shramik-Profile: (1) informal workers want institutional recognition; (2) such recognition must be portable and state-endorsed to be effective; (3) digital identity linked to citizenship (phone number/Aadhaar) can replicate and scale what paper ID cards achieved. The gap Agarwala identifies — that workers remain invisible to employers and the state — is exactly the void Shramik-Profile targets. This paper anchors the 'Problem Statement' section.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Agarwala's work predates smartphones and digital platforms. It does not address how digital identity could scale the recognition she documents to millions simultaneously — the gap Shramik-Profile fills.</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2 </w:t>
      </w:r>
      <w:r>
        <w:rPr>
          <w:rFonts w:ascii="Arial" w:cs="Arial" w:eastAsia="Arial" w:hAnsi="Arial"/>
          <w:color w:val="0D9488"/>
          <w:sz w:val="20"/>
          <w:szCs w:val="20"/>
        </w:rPr>
        <w:t xml:space="preserve">| INFORMAL LABOUR ECONOMICS, WAGE INEQUALITY, MARKET SEGMENTATION</w:t>
      </w:r>
    </w:p>
    <w:p>
      <w:pPr>
        <w:spacing w:before="40" w:after="60"/>
      </w:pPr>
      <w:r>
        <w:rPr>
          <w:rFonts w:ascii="Arial" w:cs="Arial" w:eastAsia="Arial" w:hAnsi="Arial"/>
          <w:b/>
          <w:bCs/>
          <w:i/>
          <w:iCs/>
          <w:color w:val="1A3557"/>
          <w:sz w:val="26"/>
          <w:szCs w:val="26"/>
        </w:rPr>
        <w:t xml:space="preserve">Informal Employment in India: Voluntary Choice or a Result of Labour Market Segmentation?</w:t>
      </w:r>
    </w:p>
    <w:p>
      <w:pPr>
        <w:spacing w:before="20" w:after="80"/>
      </w:pPr>
      <w:r>
        <w:rPr>
          <w:rFonts w:ascii="Arial" w:cs="Arial" w:eastAsia="Arial" w:hAnsi="Arial"/>
          <w:color w:val="64748B"/>
          <w:sz w:val="20"/>
          <w:szCs w:val="20"/>
        </w:rPr>
        <w:t xml:space="preserve">Papola, T.S. &amp; Sahu, P.P.  ·  Indian Journal of Labour Economics / ResearchGate  ·  2012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Papola, T.S. &amp; Sahu, P.P. (2012)</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Indian Journal of Labour Economics / ResearchGate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ResearchGate Publication #271832948</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on ResearchGate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https://www.researchgate.net/publication/271832948</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SDG 1</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Informal labour economics, wage inequality, market segmentation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Problem Statement, Introduction, Mentor Pitch Statistics, Literature Review</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Empirically tests whether informal employment in India is a voluntary lifestyle choice or a result of structural labour market barriers. Finds that informal workers earn significantly less not just due to skill gaps, but due to discrimination and systemic exclusion from formal labour market pathways.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This paper brings rigorous econometric evidence to a critical debate: is informality a choice? The answer — overwhelmingly no — establishes the structural injustice that Shramik-Profile seeks to address. The paper demonstrates that as of 2011-12, informal workers comprised 85.8% of India's total labour force, and that a dual segmentation exists even within the informal sector (workers with same skills earn less than formal sector counterparts due to lack of verifiable professional identity). The analysis of wage penalties reveals that the absence of documented work history is itself a poverty trap. Workers cannot escape informality because they cannot prove their competence — the core problem Shramik-Profile's verified rating system solves.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Directly quantifies the magnitude of the problem: 85.8% of India's workforce is informal, making this not a niche issue but the defining challenge of Indian labour economics. The 'wage penalty' concept is critical — Shramik-Profile's verified rating system directly attacks this by giving workers a documented, verifiable track record that breaks the information asymmetry employers exploit. Cite the 85.8% figure in the Mentor Pitch as your headline statistic.</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The paper provides no technological solution and does not examine digital systems as potential remedies — the methodological gap Shramik-Profile fills.</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3 </w:t>
      </w:r>
      <w:r>
        <w:rPr>
          <w:rFonts w:ascii="Arial" w:cs="Arial" w:eastAsia="Arial" w:hAnsi="Arial"/>
          <w:color w:val="0D9488"/>
          <w:sz w:val="20"/>
          <w:szCs w:val="20"/>
        </w:rPr>
        <w:t xml:space="preserve">| DIGITAL TRANSFORMATION, LABOUR MARKET POLICY, GIG ECONOMY, INDIA</w:t>
      </w:r>
    </w:p>
    <w:p>
      <w:pPr>
        <w:spacing w:before="40" w:after="60"/>
      </w:pPr>
      <w:r>
        <w:rPr>
          <w:rFonts w:ascii="Arial" w:cs="Arial" w:eastAsia="Arial" w:hAnsi="Arial"/>
          <w:b/>
          <w:bCs/>
          <w:i/>
          <w:iCs/>
          <w:color w:val="1A3557"/>
          <w:sz w:val="26"/>
          <w:szCs w:val="26"/>
        </w:rPr>
        <w:t xml:space="preserve">Digitalisation and the Indian Labour Market: Trends, Challenges and Opportunities</w:t>
      </w:r>
    </w:p>
    <w:p>
      <w:pPr>
        <w:spacing w:before="20" w:after="80"/>
      </w:pPr>
      <w:r>
        <w:rPr>
          <w:rFonts w:ascii="Arial" w:cs="Arial" w:eastAsia="Arial" w:hAnsi="Arial"/>
          <w:color w:val="64748B"/>
          <w:sz w:val="20"/>
          <w:szCs w:val="20"/>
        </w:rPr>
        <w:t xml:space="preserve">GIZ (Deutsche Gesellschaft für Internationale Zusammenarbeit) / BMZ  ·  GIZ Policy Report  ·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GIZ (Deutsche Gesellschaft für Internationale Zusammenarbeit) / BMZ (2022)</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GIZ Policy Report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GIZ Open Access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PDF (BMZ Digital direct link)</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https://www.bmz-digital.global/wp-content/uploads/2022/09/GIZ_2022_Digitalisation-and-the-Indian-Labour-Market.pdf</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SDG 9</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Digital transformation, labour market policy, gig economy, India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Literature Review, System Design Justification, Policy Context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Comprehensive policy report analysing how digitalisation is reshaping India's labour market. Covers gig economy growth, digital skills gaps, and policy recommendations for inclusive digital employment. Calls for a new social compact between government, platforms, and workers.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The GIZ 2022 report is one of the most comprehensive policy-facing analyses of digital labour in India. It diagnoses three structural problems: flagging labour force participation, persistently high informal employment, and a demographic bulge creating urgent job-creation pressure. The report's key finding is that digital platforms have created new labour market entrants but failed to provide them with social protection, portable work histories, or formal recognition. Critically, it recommends that 'platform data should benefit all stakeholders' — a design principle Shramik-Profile operationalizes by giving workers ownership of their verified ratings and employment records. The report also highlights the role of mobile-first design in reaching informal workers.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Provides the policy architecture in which Shramik-Profile operates. The recommendation for a 'new social compact' aligns perfectly with the system's design — employers and workers both benefit from the platform, creating a sustainable incentive structure. The report's finding on the 'digital skills gap' for informal workers should inform Shramik-Profile's UI design choices (simple, vernacular-friendly, mobile-first).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Policy-level analysis without technical implementation details — exactly the design-and-build gap Shramik-Profile addresses.</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4 </w:t>
      </w:r>
      <w:r>
        <w:rPr>
          <w:rFonts w:ascii="Arial" w:cs="Arial" w:eastAsia="Arial" w:hAnsi="Arial"/>
          <w:color w:val="0D9488"/>
          <w:sz w:val="20"/>
          <w:szCs w:val="20"/>
        </w:rPr>
        <w:t xml:space="preserve">| GIG ECONOMY, PLATFORM WORK, INDIA POLICY, SOCIAL PROTECTION</w:t>
      </w:r>
    </w:p>
    <w:p>
      <w:pPr>
        <w:spacing w:before="40" w:after="60"/>
      </w:pPr>
      <w:r>
        <w:rPr>
          <w:rFonts w:ascii="Arial" w:cs="Arial" w:eastAsia="Arial" w:hAnsi="Arial"/>
          <w:b/>
          <w:bCs/>
          <w:i/>
          <w:iCs/>
          <w:color w:val="1A3557"/>
          <w:sz w:val="26"/>
          <w:szCs w:val="26"/>
        </w:rPr>
        <w:t xml:space="preserve">India's Booming Gig and Platform Economy: Prospects and Recommendations for Work, Workers, Well-being and Beyond</w:t>
      </w:r>
    </w:p>
    <w:p>
      <w:pPr>
        <w:spacing w:before="20" w:after="80"/>
      </w:pPr>
      <w:r>
        <w:rPr>
          <w:rFonts w:ascii="Arial" w:cs="Arial" w:eastAsia="Arial" w:hAnsi="Arial"/>
          <w:color w:val="64748B"/>
          <w:sz w:val="20"/>
          <w:szCs w:val="20"/>
        </w:rPr>
        <w:t xml:space="preserve">NITI Aayog  ·  NITI Aayog Government Report  ·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NITI Aayog (2022)</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NITI Aayog Government Report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GOI Official Publication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PDF (NITI Aayog direct link)</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https://www.niti.gov.in/sites/default/files/2022-06/25th_June_Final_Report_27062022.pdf</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SDG 10, SDG 1</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Gig economy, platform work, India policy, social protection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Mentor Pitch, Introduction, Problem Statement, Policy Alignment Section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The Government of India's flagship study on the gig economy. Estimates 7.7 million gig workers in 2021, projecting 23.5 million by 2029-30. Recommends identity registration and social security access for all gig workers.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This is India's most authoritative government document on informal digital labour. Its significance for Shramik-Profile is threefold. First, it provides the quantitative scale: 7.7 million gig workers growing to 23.5 million — making any solution that works at scale enormously impactful. Second, it identifies the primary policy gap: workers lack a unified digital identity that follows them across platforms and employers. Third, it explicitly recommends 'registration of all gig workers with an employee identity card' as a policy priority — directly validating the core mechanism of Shramik-Profile. The NITI Aayog report also identifies domestic workers, security guards, and plumbers as priority segments, exactly the groups Shramik-Profile targets.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This paper is government-endorsed validation of Shramik-Profile's existence. Every number in the mentor pitch comes from here. The report's projection of 23.5 million workers by 2029-30 means Shramik-Profile operates in a rapidly growing market. The recommendation for worker registration cards is effectively a policy mandate for what Shramik-Profile builds digitally.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The government report makes policy recommendations but has no technical implementation. Shramik-Profile provides the technical architecture.</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5 </w:t>
      </w:r>
      <w:r>
        <w:rPr>
          <w:rFonts w:ascii="Arial" w:cs="Arial" w:eastAsia="Arial" w:hAnsi="Arial"/>
          <w:color w:val="0D9488"/>
          <w:sz w:val="20"/>
          <w:szCs w:val="20"/>
        </w:rPr>
        <w:t xml:space="preserve">| ILO FRAMEWORK, SOCIAL PROTECTION, GIG WORKERS INDIA, EMPLOYER RESPONSIBILITY</w:t>
      </w:r>
    </w:p>
    <w:p>
      <w:pPr>
        <w:spacing w:before="40" w:after="60"/>
      </w:pPr>
      <w:r>
        <w:rPr>
          <w:rFonts w:ascii="Arial" w:cs="Arial" w:eastAsia="Arial" w:hAnsi="Arial"/>
          <w:b/>
          <w:bCs/>
          <w:i/>
          <w:iCs/>
          <w:color w:val="1A3557"/>
          <w:sz w:val="26"/>
          <w:szCs w:val="26"/>
        </w:rPr>
        <w:t xml:space="preserve">Expansion of the Gig and Platform Economy in India: Opportunities for Employer and Business Member Organizations</w:t>
      </w:r>
    </w:p>
    <w:p>
      <w:pPr>
        <w:spacing w:before="20" w:after="80"/>
      </w:pPr>
      <w:r>
        <w:rPr>
          <w:rFonts w:ascii="Arial" w:cs="Arial" w:eastAsia="Arial" w:hAnsi="Arial"/>
          <w:color w:val="64748B"/>
          <w:sz w:val="20"/>
          <w:szCs w:val="20"/>
        </w:rPr>
        <w:t xml:space="preserve">ILO Bureau for Employers Activities / AIOE / EFI  ·  International Labour Organization Report  ·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ILO Bureau for Employers Activities / AIOE / EFI (2022)</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International Labour Organization Report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ILO Open Access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PDF (ILO direct download)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https://www.ilo.org/media/526416/download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SDG 16</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ILO framework, social protection, gig workers India, employer responsibility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Literature Review (Employer Role), SDG Alignment, Policy Context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ILO's analysis of India's gig economy from an employer perspective. Identifies 17+ million platform workers, examines social protection gaps, and calls for collective stakeholder action to create decent work conditions.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The ILO report brings an employer-side perspective rarely represented in gig economy research. It documents that platforms classify gig workers as 'independent contractors' to avoid employment obligations — a legal fiction that denies workers health insurance, provident funds, and job security. The paper's significance for Shramik-Profile is its identification of the employer incentive problem: why would employers bother with formal documentation? The ILO proposes that platforms and employer organizations have both a social responsibility and a business incentive to create more sustainable worker relationships. Shramik-Profile addresses this by making verified employer ratings a quality signal — employers who leave good ratings attract better workers.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Positions Shramik-Profile within the ILO's Decent Work framework (which aligns with SDG 8). The employer-side analysis is useful for designing the 'Employer Role' in the system — it shows that employers need regulatory framing and business incentives to participate, not just appeals to altruism. The ILO's mention of Rajasthan's Gig Workers Act (2023) and Karnataka's Bill (2024) shows the legal landscape is moving toward worker registration — creating policy tailwinds for Shramik-Profile.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No technical system for worker-employer relationship management is proposed — the gap Shramik-Profile fills.</w:t>
      </w:r>
    </w:p>
    <w:p>
      <w:pPr>
        <w:pBdr>
          <w:bottom w:val="single" w:color="D1D5DB" w:sz="4" w:space="1"/>
        </w:pBdr>
        <w:spacing w:before="60" w:after="60"/>
      </w:pPr>
    </w:p>
    <w:p>
      <w:pPr>
        <w:spacing w:before="60"/>
      </w:pPr>
    </w:p>
    <w:p>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20"/>
              <w:left w:type="dxa" w:w="200"/>
              <w:bottom w:type="dxa" w:w="120"/>
              <w:right w:type="dxa" w:w="200"/>
            </w:tcMar>
          </w:tcPr>
          <w:p>
            <w:r>
              <w:rPr>
                <w:rFonts w:ascii="Arial" w:cs="Arial" w:eastAsia="Arial" w:hAnsi="Arial"/>
                <w:b/>
                <w:bCs/>
                <w:color w:val="FFFFFF"/>
                <w:sz w:val="22"/>
                <w:szCs w:val="22"/>
              </w:rPr>
              <w:t xml:space="preserve">CLUSTER 2: Digital Identity for Informal Workers</w:t>
            </w:r>
          </w:p>
        </w:tc>
      </w:tr>
    </w:tbl>
    <w:p>
      <w:pPr>
        <w:spacing w:before="60"/>
      </w:pPr>
    </w:p>
    <w:p>
      <w:pPr>
        <w:spacing w:before="160" w:after="60"/>
      </w:pPr>
      <w:r>
        <w:rPr>
          <w:rFonts w:ascii="Arial" w:cs="Arial" w:eastAsia="Arial" w:hAnsi="Arial"/>
          <w:b/>
          <w:bCs/>
          <w:color w:val="2563EB"/>
          <w:sz w:val="28"/>
          <w:szCs w:val="28"/>
        </w:rPr>
        <w:t xml:space="preserve">PAPER 6 </w:t>
      </w:r>
      <w:r>
        <w:rPr>
          <w:rFonts w:ascii="Arial" w:cs="Arial" w:eastAsia="Arial" w:hAnsi="Arial"/>
          <w:color w:val="0D9488"/>
          <w:sz w:val="20"/>
          <w:szCs w:val="20"/>
        </w:rPr>
        <w:t xml:space="preserve">| DIGITAL IDENTITY, AADHAAR, INFORMAL WORKERS, DATA JUSTICE, ICT4D</w:t>
      </w:r>
    </w:p>
    <w:p>
      <w:pPr>
        <w:spacing w:before="40" w:after="60"/>
      </w:pPr>
      <w:r>
        <w:rPr>
          <w:rFonts w:ascii="Arial" w:cs="Arial" w:eastAsia="Arial" w:hAnsi="Arial"/>
          <w:b/>
          <w:bCs/>
          <w:i/>
          <w:iCs/>
          <w:color w:val="1A3557"/>
          <w:sz w:val="26"/>
          <w:szCs w:val="26"/>
        </w:rPr>
        <w:t xml:space="preserve">Digital Identity, Datafication and Social Justice: Understanding Aadhaar Use Among Informal Workers in South India</w:t>
      </w:r>
    </w:p>
    <w:p>
      <w:pPr>
        <w:spacing w:before="20" w:after="80"/>
      </w:pPr>
      <w:r>
        <w:rPr>
          <w:rFonts w:ascii="Arial" w:cs="Arial" w:eastAsia="Arial" w:hAnsi="Arial"/>
          <w:color w:val="64748B"/>
          <w:sz w:val="20"/>
          <w:szCs w:val="20"/>
        </w:rPr>
        <w:t xml:space="preserve">Shyam Krishna  ·  Information Technology for Development, Taylor &amp; Francis / Royal Holloway, University of London  ·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Shyam Krishna (2021)</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Information Technology for Development, Taylor &amp; Francis / Royal Holloway, University of London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10.1080/02681102.2020.1818544</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PhD Thesis PDF (Royal Holloway link)</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https://pure.royalholloway.ac.uk/ws/portalfiles/portal/44798061/2022KrishnaRGSphd.pdf</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SDG 10, SDG 16</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Digital identity, Aadhaar, informal workers, data justice, ICT4D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Literature Review (Core), System Design Justification, Ethics Section, Problem Statement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Empirically studies how cab-drivers and domestic workers use Aadhaar for verification on gig platforms. Applies a 'data justice' lens to reveal that current digital identity systems replicate social inequalities, expose workers to datafication risks, and create barriers to redressal.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This is the single most directly relevant academic paper for Shramik-Profile. Krishna's study examines the exact user population (domestic workers, cab-drivers) that Shramik-Profile serves, using the exact mechanism (digital identity for work verification) that Shramik-Profile implements. The paper's 'data justice' framework — which examines who benefits from data collection and who bears its risks — should be a design principle for Shramik-Profile. Krishna finds that current systems (Aadhaar-based platform verification) benefit employers and platforms far more than workers. Workers' biometric data is collected, but workers cannot access their own employment records or dispute incorrect information. This asymmetry is precisely what Shramik-Profile's worker-centric design must correct.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Krishna's three key findings map directly to Shramik-Profile's three design requirements: (1) digital identities currently replicate cultural inequalities → Shramik-Profile must have caste/gender-neutral rating design; (2) unprotected datafication creates economic inequalities → Shramik-Profile must give workers data ownership and portability; (3) barriers to redressal → Shramik-Profile needs a dispute resolution mechanism for unfair ratings. This paper should be cited in the System Design section to justify every worker-protective design choice.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Krishna identifies problems but does not propose a technical system solution. Shramik-Profile operationalizes a solution to each identified gap.</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7 </w:t>
      </w:r>
      <w:r>
        <w:rPr>
          <w:rFonts w:ascii="Arial" w:cs="Arial" w:eastAsia="Arial" w:hAnsi="Arial"/>
          <w:color w:val="0D9488"/>
          <w:sz w:val="20"/>
          <w:szCs w:val="20"/>
        </w:rPr>
        <w:t xml:space="preserve">| AADHAAR, DIGITAL IDENTITY INFRASTRUCTURE, FINANCIAL INCLUSION, INDIA</w:t>
      </w:r>
    </w:p>
    <w:p>
      <w:pPr>
        <w:spacing w:before="40" w:after="60"/>
      </w:pPr>
      <w:r>
        <w:rPr>
          <w:rFonts w:ascii="Arial" w:cs="Arial" w:eastAsia="Arial" w:hAnsi="Arial"/>
          <w:b/>
          <w:bCs/>
          <w:i/>
          <w:iCs/>
          <w:color w:val="1A3557"/>
          <w:sz w:val="26"/>
          <w:szCs w:val="26"/>
        </w:rPr>
        <w:t xml:space="preserve">Aadhaar: Digital Inclusion and Public Services in India</w:t>
      </w:r>
    </w:p>
    <w:p>
      <w:pPr>
        <w:spacing w:before="20" w:after="80"/>
      </w:pPr>
      <w:r>
        <w:rPr>
          <w:rFonts w:ascii="Arial" w:cs="Arial" w:eastAsia="Arial" w:hAnsi="Arial"/>
          <w:color w:val="64748B"/>
          <w:sz w:val="20"/>
          <w:szCs w:val="20"/>
        </w:rPr>
        <w:t xml:space="preserve">Shweta Banerjee  ·  World Bank Background Paper: World Development Report 2016  ·  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Shweta Banerjee (2016)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World Bank Background Paper: World Development Report 2016</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World Bank Open Access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PDF (World Bank direct link)</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https://thedocs.worldbank.org/en/doc/655801461250682317-0050022016/original/WDR16BPAadhaarPaperBanerjee.pdf</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SDG 1, SDG 9</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Aadhaar, digital identity infrastructure, financial inclusion, India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System Architecture, Tech Scope Justification, Literature Review</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World Bank analysis of Aadhaar's design, implementation, and impact on public service delivery. Examines eKYC, real-time authentication, and interoperability as mechanisms for financial and social inclusion — especially for migrant workers.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Banerjee's World Bank paper provides the technical and institutional blueprint on which phone-number-based identity systems like Shramik-Profile build. The paper documents Aadhaar's three core value propositions: eKYC (remote identity verification), real-time authentication (reducing impersonation), and interoperability (one ID works across all systems). For Shramik-Profile, the most critical finding is the paper's emphasis on migrant worker portability — Aadhaar is described as 'especially valuable to migrant workers, providing a portable ID that travels with them regardless of where they live or work.' This is the foundational argument for Shramik-Profile's phone-number-linked architecture: like Aadhaar, a worker's profile should follow them, not stay with any single employer or city.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This paper justifies Shramik-Profile's decision to use phone number as the primary identity anchor. Banerjee shows that mobile-linked identity is the most inclusive approach for India's migrant, informal workforce. The paper also identifies the risk of Aadhaar dependency: system downtime and exclusion errors hurt the poorest most. This should inform Shramik-Profile's design to maintain offline fallback mechanisms and not require real-time Aadhaar verification for basic profile access.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The paper examines government-to-citizen identity use cases but does not address worker-to-employer reputation systems — the novel application Shramik-Profile builds.</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8 </w:t>
      </w:r>
      <w:r>
        <w:rPr>
          <w:rFonts w:ascii="Arial" w:cs="Arial" w:eastAsia="Arial" w:hAnsi="Arial"/>
          <w:color w:val="0D9488"/>
          <w:sz w:val="20"/>
          <w:szCs w:val="20"/>
        </w:rPr>
        <w:t xml:space="preserve">| DECENTRALIZED IDENTITY, DID, VERIFIABLE CREDENTIALS, SELF-SOVEREIGN IDENTITY, BLOCKCHAIN</w:t>
      </w:r>
    </w:p>
    <w:p>
      <w:pPr>
        <w:spacing w:before="40" w:after="60"/>
      </w:pPr>
      <w:r>
        <w:rPr>
          <w:rFonts w:ascii="Arial" w:cs="Arial" w:eastAsia="Arial" w:hAnsi="Arial"/>
          <w:b/>
          <w:bCs/>
          <w:i/>
          <w:iCs/>
          <w:color w:val="1A3557"/>
          <w:sz w:val="26"/>
          <w:szCs w:val="26"/>
        </w:rPr>
        <w:t xml:space="preserve">A Survey on Decentralized Identifiers and Verifiable Credentials</w:t>
      </w:r>
    </w:p>
    <w:p>
      <w:pPr>
        <w:spacing w:before="20" w:after="80"/>
      </w:pPr>
      <w:r>
        <w:rPr>
          <w:rFonts w:ascii="Arial" w:cs="Arial" w:eastAsia="Arial" w:hAnsi="Arial"/>
          <w:color w:val="64748B"/>
          <w:sz w:val="20"/>
          <w:szCs w:val="20"/>
        </w:rPr>
        <w:t xml:space="preserve">Mazzocca, C. et al.  ·  IEEE Access / arXiv:2402.02455  ·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Mazzocca, C. et al. (2024)</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IEEE Access / arXiv:2402.02455</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arXiv:2402.02455</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PDF (arXiv direct link)</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https://arxiv.org/pdf/2402.02455</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9, SDG 16</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Decentralized identity, DID, verifiable credentials, Self-Sovereign Identity, blockchain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Tech Architecture, System Design, Future Roadmap, Mentor Technical Pitch</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Comprehensive survey of Decentralized Identifiers (DIDs) and Verifiable Credentials (VCs) — the W3C standards for Self-Sovereign Identity (SSI). Examines architectures, implementations, and use cases across healthcare, finance, and labour domains.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This arXiv survey provides the cutting-edge technical foundation for Shramik-Profile's 'Verified Rating' architecture. The paper explains that in a Self-Sovereign Identity ecosystem, every individual is uniquely identified by a Decentralized Identifier (DID) linked to a cryptographic key pair — ensuring that no central authority can revoke or alter a worker's identity without their consent. Verifiable Credentials (VCs) are then digital attestations (like an employer's verified rating) that can be cryptographically checked by any third party without requiring a central database query. For Shramik-Profile, this means: (1) a worker's profile is anchored to their DID (linked to phone number); (2) each employer rating is a VC signed by the employer's key; (3) any new employer can verify past ratings without calling a central server.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This paper establishes the technical roadmap for Shramik-Profile Phase 2 (post-MVP). The current MVP uses a centralized database with phone-OTP authentication. Citing this paper shows mentors that the team understands the state-of-the-art and has a clear upgrade path. The key insight is that VCs solve the portability-trust problem: a rating from employer A is verifiable by employer B without any communication between A and B — ideal for informal workers who move between many employers.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DID/VC systems are complex to implement and assume smartphone access. Shramik-Profile bridges this gap with a centralized MVP that maintains the same data model (worker-centric, portable ratings) without requiring blockchain infrastructure.</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9 </w:t>
      </w:r>
      <w:r>
        <w:rPr>
          <w:rFonts w:ascii="Arial" w:cs="Arial" w:eastAsia="Arial" w:hAnsi="Arial"/>
          <w:color w:val="0D9488"/>
          <w:sz w:val="20"/>
          <w:szCs w:val="20"/>
        </w:rPr>
        <w:t xml:space="preserve">| BLOCKCHAIN IDENTITY, SMART CONTRACTS, DECENTRALIZED AUTHENTICATION</w:t>
      </w:r>
    </w:p>
    <w:p>
      <w:pPr>
        <w:spacing w:before="40" w:after="60"/>
      </w:pPr>
      <w:r>
        <w:rPr>
          <w:rFonts w:ascii="Arial" w:cs="Arial" w:eastAsia="Arial" w:hAnsi="Arial"/>
          <w:b/>
          <w:bCs/>
          <w:i/>
          <w:iCs/>
          <w:color w:val="1A3557"/>
          <w:sz w:val="26"/>
          <w:szCs w:val="26"/>
        </w:rPr>
        <w:t xml:space="preserve">Blockchain-Based Digital Identity Verification System for Secure and Decentralized Authentication</w:t>
      </w:r>
    </w:p>
    <w:p>
      <w:pPr>
        <w:spacing w:before="20" w:after="80"/>
      </w:pPr>
      <w:r>
        <w:rPr>
          <w:rFonts w:ascii="Arial" w:cs="Arial" w:eastAsia="Arial" w:hAnsi="Arial"/>
          <w:color w:val="64748B"/>
          <w:sz w:val="20"/>
          <w:szCs w:val="20"/>
        </w:rPr>
        <w:t xml:space="preserve">Sharma, P. et al.  ·  International Journal of Progressive Research in Engineering Management and Science (IJPREMS)  ·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Sharma, P. et al. (2023)</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International Journal of Progressive Research in Engineering Management and Science (IJPREMS)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IJPREMS Vol.3, Issue 4 (2023)</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Search title on IJPREMS or Google Scholar</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https://www.ijprems.com (search title)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9, SDG 16</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Blockchain identity, smart contracts, decentralized authentication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Tech Architecture, Data Integrity Design, Verified Ratings Section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Proposes a blockchain-based identity verification system using smart contracts to automate credential verification and eliminate intermediaries. Demonstrates tamper-resistance and auditability as core advantages over centralized systems.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This paper provides the technical argument for why blockchain-based identity is superior to centralized databases for worker credentials. The key advantages documented are: (1) tamper-resistance — once a rating is recorded on-chain, it cannot be altered by the employer or the platform; (2) transparency — workers can audit who has accessed their credentials; (3) auditability — a complete, immutable history of employment and ratings. The paper also introduces the concept of Decentralized Identity (DID) frameworks that allow users to manage their own identities independently, using smart contracts to automate verification. For Shramik-Profile, this is particularly relevant: an employer cannot delete a negative rating they left (ensuring data integrity), and workers cannot fabricate ratings they did not earn (ensuring authenticity).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Supports Shramik-Profile's core data integrity claim. Even in the centralized MVP, the principle of immutable ratings (once left, cannot be edited — only responded to) follows the blockchain principle of tamper-evidence. Cite this paper to justify the 'Verified Rating' architecture — once an employer verifies a job and leaves a rating, the system should not allow deletion. This creates the trustworthiness that makes the 'Digital Trust Resume' meaningful.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Full blockchain implementation has high infrastructure and technical complexity cost. Shramik-Profile achieves the same logical properties (immutability, auditability) through careful database design without blockchain overhead.</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10 </w:t>
      </w:r>
      <w:r>
        <w:rPr>
          <w:rFonts w:ascii="Arial" w:cs="Arial" w:eastAsia="Arial" w:hAnsi="Arial"/>
          <w:color w:val="0D9488"/>
          <w:sz w:val="20"/>
          <w:szCs w:val="20"/>
        </w:rPr>
        <w:t xml:space="preserve">| UNORGANIZED WORKER REGISTRATION, DIGITAL PORTAL, SOCIAL PROTECTION, INDIA</w:t>
      </w:r>
    </w:p>
    <w:p>
      <w:pPr>
        <w:spacing w:before="40" w:after="60"/>
      </w:pPr>
      <w:r>
        <w:rPr>
          <w:rFonts w:ascii="Arial" w:cs="Arial" w:eastAsia="Arial" w:hAnsi="Arial"/>
          <w:b/>
          <w:bCs/>
          <w:i/>
          <w:iCs/>
          <w:color w:val="1A3557"/>
          <w:sz w:val="26"/>
          <w:szCs w:val="26"/>
        </w:rPr>
        <w:t xml:space="preserve">E-Shram Portal: Challenges and Opportunities for Registering India's Unorganized Workforce</w:t>
      </w:r>
    </w:p>
    <w:p>
      <w:pPr>
        <w:spacing w:before="20" w:after="80"/>
      </w:pPr>
      <w:r>
        <w:rPr>
          <w:rFonts w:ascii="Arial" w:cs="Arial" w:eastAsia="Arial" w:hAnsi="Arial"/>
          <w:color w:val="64748B"/>
          <w:sz w:val="20"/>
          <w:szCs w:val="20"/>
        </w:rPr>
        <w:t xml:space="preserve">Ministry of Labour &amp; Employment, GOI (Analysis: Multiple CSE/Policy Papers)  ·  Government of India Initiative + ILO Analysis Papers  ·  2021-2023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Ministry of Labour &amp; Employment, GOI (Analysis: Multiple CSE/Policy Papers) (2021-2023)</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Government of India Initiative + ILO Analysis Papers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GOI Open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Government portal publicly accessible; ILO analysis papers free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https://eshram.gov.in (portal); Analysis via ISID/ILO working papers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SDG 1</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Unorganized worker registration, digital portal, social protection, India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Problem Statement, Differentiation Analysis, Mentor Pitch, Policy Context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E-Shram is India's National Database for Unorganised Workers, launched in 2021, targeting registration of 380 million informal workers via Aadhaar-linked self-registration. Analysis papers examine implementation gaps including awareness barriers, digital divide, and the mismatch between data collected and services delivered.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E-Shram is Shramik-Profile's direct government predecessor and most important point of comparison. The portal registered over 300 million workers by 2023, demonstrating massive demand for worker digital identity. However, analysis papers reveal critical design failures: (1) self-registration placed the burden on workers with lowest digital literacy; (2) data collected (basic ID) was not linked to employment history, skill certification, or employer ratings; (3) no employer-facing interface meant workers could not use their E-Shram card to find better jobs. Shramik-Profile explicitly addresses all three failures: employer-assisted registration, verified employment ratings, and a marketplace interface.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E-Shram validates the demand side (300 million registrations) while exposing the supply-side gap. Shramik-Profile's key differentiation from E-Shram is the verified rating system and employer interface — converting a passive ID card into an active professional profile. Mentors will immediately understand Shramik-Profile's value proposition when positioned against E-Shram: 'E-Shram tells you a worker exists; Shramik-Profile tells you how good they are.'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E-Shram has no employer interface, no rating system, no skill verification, and no job-matching functionality — all features Shramik-Profile adds.</w:t>
      </w:r>
    </w:p>
    <w:p>
      <w:pPr>
        <w:pBdr>
          <w:bottom w:val="single" w:color="D1D5DB" w:sz="4" w:space="1"/>
        </w:pBdr>
        <w:spacing w:before="60" w:after="60"/>
      </w:pPr>
    </w:p>
    <w:p>
      <w:pPr>
        <w:spacing w:before="60"/>
      </w:pPr>
    </w:p>
    <w:p>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20"/>
              <w:left w:type="dxa" w:w="200"/>
              <w:bottom w:type="dxa" w:w="120"/>
              <w:right w:type="dxa" w:w="200"/>
            </w:tcMar>
          </w:tcPr>
          <w:p>
            <w:r>
              <w:rPr>
                <w:rFonts w:ascii="Arial" w:cs="Arial" w:eastAsia="Arial" w:hAnsi="Arial"/>
                <w:b/>
                <w:bCs/>
                <w:color w:val="FFFFFF"/>
                <w:sz w:val="22"/>
                <w:szCs w:val="22"/>
              </w:rPr>
              <w:t xml:space="preserve">CLUSTER 3: Reputation &amp; Rating Systems — The Trust Resume</w:t>
            </w:r>
          </w:p>
        </w:tc>
      </w:tr>
    </w:tbl>
    <w:p>
      <w:pPr>
        <w:spacing w:before="60"/>
      </w:pPr>
    </w:p>
    <w:p>
      <w:pPr>
        <w:spacing w:before="160" w:after="60"/>
      </w:pPr>
      <w:r>
        <w:rPr>
          <w:rFonts w:ascii="Arial" w:cs="Arial" w:eastAsia="Arial" w:hAnsi="Arial"/>
          <w:b/>
          <w:bCs/>
          <w:color w:val="2563EB"/>
          <w:sz w:val="28"/>
          <w:szCs w:val="28"/>
        </w:rPr>
        <w:t xml:space="preserve">PAPER 11 </w:t>
      </w:r>
      <w:r>
        <w:rPr>
          <w:rFonts w:ascii="Arial" w:cs="Arial" w:eastAsia="Arial" w:hAnsi="Arial"/>
          <w:color w:val="0D9488"/>
          <w:sz w:val="20"/>
          <w:szCs w:val="20"/>
        </w:rPr>
        <w:t xml:space="preserve">| TRUST SYSTEMS, REPUTATION MECHANISMS, ONLINE PLATFORMS, INFORMATION ASYMMETRY</w:t>
      </w:r>
    </w:p>
    <w:p>
      <w:pPr>
        <w:spacing w:before="40" w:after="60"/>
      </w:pPr>
      <w:r>
        <w:rPr>
          <w:rFonts w:ascii="Arial" w:cs="Arial" w:eastAsia="Arial" w:hAnsi="Arial"/>
          <w:b/>
          <w:bCs/>
          <w:i/>
          <w:iCs/>
          <w:color w:val="1A3557"/>
          <w:sz w:val="26"/>
          <w:szCs w:val="26"/>
        </w:rPr>
        <w:t xml:space="preserve">A Survey of Trust and Reputation Systems for Online Service Provision</w:t>
      </w:r>
    </w:p>
    <w:p>
      <w:pPr>
        <w:spacing w:before="20" w:after="80"/>
      </w:pPr>
      <w:r>
        <w:rPr>
          <w:rFonts w:ascii="Arial" w:cs="Arial" w:eastAsia="Arial" w:hAnsi="Arial"/>
          <w:color w:val="64748B"/>
          <w:sz w:val="20"/>
          <w:szCs w:val="20"/>
        </w:rPr>
        <w:t xml:space="preserve">Jøsang, A., Ismail, R., Boyd, C.  ·  Decision Support Systems, Elsevier  ·  2007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Jøsang, A., Ismail, R., Boyd, C. (2007)</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Decision Support Systems, Elsevier</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10.1016/j.dss.2005.05.019</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PDF on ResearchGate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https://www.researchgate.net/publication/220204527</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9</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Trust systems, reputation mechanisms, online platforms, information asymmetry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Literature Review (Reputation Systems), System Design, Rating Architecture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Seminal survey of online reputation and trust systems. Classifies reputation architectures into centralized, distributed, and hybrid models. Establishes that peer-based collective certification produces reputation signals more strongly correlated with ground-truth quality than self-reported profiles.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Jøsang et al.'s landmark survey established the academic foundation for all subsequent research on reputation systems. For Shramik-Profile, the critical theoretical contribution is the concept of 'reputation as a social mechanism for reducing uncertainty in transactions.' Informal labour markets are characterized by extreme information asymmetry — employers cannot verify a worker's claimed skills or past behaviour, and workers cannot prove their competence. Reputation systems solve this by aggregating distributed signals (individual employer ratings) into a credible summary score. The paper also introduces the distinction between 'direct trust' (from personal experience) and 'reputation-based trust' (from aggregated third-party reports) — Shramik-Profile implements the latter, enabling employers who have never met a worker to make informed hiring decisions.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This paper provides the theoretical architecture for Shramik-Profile's rating system. Key design implications: (1) ratings must come from verified transactions (employers who actually hired the worker), not anonymous reviews; (2) aggregate scores must weight recency (a worker's skills may improve over time); (3) the system needs a bootstrapping mechanism for new workers with no ratings. The paper's finding that 'peer-based collective certification produces quality signals more correlated with ground truth than self-reporting' directly validates the employer-verified rating model.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The paper examines online service platforms (eBay, Amazon) and does not address the specific context of informal physical labour in developing economies — the novel context Shramik-Profile addresses.</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12 </w:t>
      </w:r>
      <w:r>
        <w:rPr>
          <w:rFonts w:ascii="Arial" w:cs="Arial" w:eastAsia="Arial" w:hAnsi="Arial"/>
          <w:color w:val="0D9488"/>
          <w:sz w:val="20"/>
          <w:szCs w:val="20"/>
        </w:rPr>
        <w:t xml:space="preserve">| REPUTATION PORTABILITY, PLATFORM LOCK-IN, LABOUR PLATFORMS, SWITCHING COSTS</w:t>
      </w:r>
    </w:p>
    <w:p>
      <w:pPr>
        <w:spacing w:before="40" w:after="60"/>
      </w:pPr>
      <w:r>
        <w:rPr>
          <w:rFonts w:ascii="Arial" w:cs="Arial" w:eastAsia="Arial" w:hAnsi="Arial"/>
          <w:b/>
          <w:bCs/>
          <w:i/>
          <w:iCs/>
          <w:color w:val="1A3557"/>
          <w:sz w:val="26"/>
          <w:szCs w:val="26"/>
        </w:rPr>
        <w:t xml:space="preserve">The Duality of Reputation Portability: Evidence from Online Labour Platforms</w:t>
      </w:r>
    </w:p>
    <w:p>
      <w:pPr>
        <w:spacing w:before="20" w:after="80"/>
      </w:pPr>
      <w:r>
        <w:rPr>
          <w:rFonts w:ascii="Arial" w:cs="Arial" w:eastAsia="Arial" w:hAnsi="Arial"/>
          <w:color w:val="64748B"/>
          <w:sz w:val="20"/>
          <w:szCs w:val="20"/>
        </w:rPr>
        <w:t xml:space="preserve">Nofer, M. et al.  ·  Electronic Markets, Springer  ·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Nofer, M. et al. (2024)</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Electronic Markets, Springer</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10.1007/s12525-024-00721-z</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Springer (check Unpaywall/ResearchGate for free version)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https://link.springer.com/article/10.1007/s12525-024-00721-z</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Reputation portability, platform lock-in, labour platforms, switching costs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Literature Review, System Design (Portability Feature), Problem Statement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Investigates reputation portability across online labour platforms. Finds that platform-bound reputation creates prohibitive switching costs for workers, and that portable reputation systems both stimulate worker mobility and increase overall market efficiency.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This 2024 paper is the most directly relevant recent academic work to Shramik-Profile's 'portable trust resume' concept. The paper documents the 'reputation portability paradox': workers who build reputation on one platform (e.g., UrbanClap) cannot transfer it to another platform, making them economically captive. This creates a structural power imbalance — platforms can reduce worker pay or worsen conditions knowing workers cannot leave without losing their accumulated reputation. Nofer et al. find that imported ratings stimulate demand for workers (employers are willing to hire workers with portable verified history) but at slightly lower rates than onsite ratings, suggesting a 'portability discount' that decreases over time as the system matures.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This paper provides the economic justification for Shramik-Profile's cross-platform, phone-number-linked design. A worker's profile on Shramik-Profile is not owned by any platform — it is theirs. When they move from one agency or employer to another, their verified ratings travel with them. The paper's finding on the portability discount suggests that Shramik-Profile should implement a 'trust score normalization' mechanism that validates the authenticity of imported ratings. This is a concrete system design requirement derived from academic literature.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The paper examines digital gig platforms (like Upwork, Fiverr) for skilled online work. Physical informal labour in India (plumbers, maids, guards) adds localization, language, and digital literacy dimensions the paper does not address.</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13 </w:t>
      </w:r>
      <w:r>
        <w:rPr>
          <w:rFonts w:ascii="Arial" w:cs="Arial" w:eastAsia="Arial" w:hAnsi="Arial"/>
          <w:color w:val="0D9488"/>
          <w:sz w:val="20"/>
          <w:szCs w:val="20"/>
        </w:rPr>
        <w:t xml:space="preserve">| ALGORITHMIC POWER, RATING ETHICS, PLATFORM LABOR, TRUST ASYMMETRY</w:t>
      </w:r>
    </w:p>
    <w:p>
      <w:pPr>
        <w:spacing w:before="40" w:after="60"/>
      </w:pPr>
      <w:r>
        <w:rPr>
          <w:rFonts w:ascii="Arial" w:cs="Arial" w:eastAsia="Arial" w:hAnsi="Arial"/>
          <w:b/>
          <w:bCs/>
          <w:i/>
          <w:iCs/>
          <w:color w:val="1A3557"/>
          <w:sz w:val="26"/>
          <w:szCs w:val="26"/>
        </w:rPr>
        <w:t xml:space="preserve">Trust and Power in Airbnb's Digital Rating and Reputation System</w:t>
      </w:r>
    </w:p>
    <w:p>
      <w:pPr>
        <w:spacing w:before="20" w:after="80"/>
      </w:pPr>
      <w:r>
        <w:rPr>
          <w:rFonts w:ascii="Arial" w:cs="Arial" w:eastAsia="Arial" w:hAnsi="Arial"/>
          <w:color w:val="64748B"/>
          <w:sz w:val="20"/>
          <w:szCs w:val="20"/>
        </w:rPr>
        <w:t xml:space="preserve">Rosenblat, A. &amp; Stark, L.  ·  Ethics and Information Technology, Springer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Rosenblat, A. &amp; Stark, L. (2025)</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Ethics and Information Technology, Springer</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10.1007/s10676-025-09822-3</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Springer (search title on Semantic Scholar for open access version)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https://link.springer.com/article/10.1007/s10676-025-09822-3</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SDG 10</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Algorithmic power, rating ethics, platform labor, trust asymmetry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Ethics Section, System Design (Rating Safeguards), Literature Review</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Critically examines the power dynamics embedded in digital rating systems, showing how algorithmic penalties applied opaquely create power imbalances between platforms, consumers, and workers. Distinguishes between rating systems that serve workers versus those that exploit them.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This paper is essential for Shramik-Profile's ethics and limitations section. It documents how digital reputation systems — despite appearing neutral — encode power imbalances. Trustworthy behaviour is rewarded with higher earnings while unexplained algorithmic penalties can devastate a worker's income. The paper identifies two types of unfairness: (1) retaliation bias — employers leave negative ratings to punish workers who exercise their rights; (2) cultural bias — workers from certain demographic groups systematically receive lower ratings regardless of performance. For Shramik-Profile, this is not merely academic — without anti-bias design, the system could digitally entrench existing caste, gender, and class hierarchies.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Every design element of Shramik-Profile's rating system should be evaluated against this paper's findings. Specific countermeasures: (1) Retaliation control — ratings can only be left within 72 hours of a completed job (preventing vindictive late ratings); (2) Bias detection — aggregate rating analytics should flag systematic demographic disparities for review; (3) Worker response — workers must have the ability to publicly respond to ratings they dispute. Citing this paper in the ethics section demonstrates sophisticated understanding of social technology's unintended consequences.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The paper examines Airbnb — a consumer hospitality platform — not informal physical labour. The dynamics of trust in domestic work are more personal and more vulnerable, requiring stronger ethical safeguards.</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14 </w:t>
      </w:r>
      <w:r>
        <w:rPr>
          <w:rFonts w:ascii="Arial" w:cs="Arial" w:eastAsia="Arial" w:hAnsi="Arial"/>
          <w:color w:val="0D9488"/>
          <w:sz w:val="20"/>
          <w:szCs w:val="20"/>
        </w:rPr>
        <w:t xml:space="preserve">| REPUTATION MECHANISM DESIGN, INFORMATION ASYMMETRY, LABOUR PLATFORMS</w:t>
      </w:r>
    </w:p>
    <w:p>
      <w:pPr>
        <w:spacing w:before="40" w:after="60"/>
      </w:pPr>
      <w:r>
        <w:rPr>
          <w:rFonts w:ascii="Arial" w:cs="Arial" w:eastAsia="Arial" w:hAnsi="Arial"/>
          <w:b/>
          <w:bCs/>
          <w:i/>
          <w:iCs/>
          <w:color w:val="1A3557"/>
          <w:sz w:val="26"/>
          <w:szCs w:val="26"/>
        </w:rPr>
        <w:t xml:space="preserve">Designing Reputation Mechanisms for Online Labour Platforms: An Empirical Study</w:t>
      </w:r>
    </w:p>
    <w:p>
      <w:pPr>
        <w:spacing w:before="20" w:after="80"/>
      </w:pPr>
      <w:r>
        <w:rPr>
          <w:rFonts w:ascii="Arial" w:cs="Arial" w:eastAsia="Arial" w:hAnsi="Arial"/>
          <w:color w:val="64748B"/>
          <w:sz w:val="20"/>
          <w:szCs w:val="20"/>
        </w:rPr>
        <w:t xml:space="preserve">Bagnoud, J. et al.  ·  Springer / ItAIS 2022 Conference Proceedings  ·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Bagnoud, J. et al. (2022)</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Springer / ItAIS 2022 Conference Proceedings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10.1007/978-3-031-23191-2_3</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Springer (search ResearchGate for pre-print)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https://link.springer.com/chapter/10.1007/978-3-031-23191-2_3</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SDG 9</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Reputation mechanism design, information asymmetry, labour platforms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System Design (Rating Architecture), Technical Documentation, Database Schema Justification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Empirically studies reputation mechanism design on freelance labour platforms. Finds that current rating systems fail to account for skill evolution over time and the heterogeneous context of each transaction. Proposes dynamic, skill-category-specific reputation mechanisms.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Bagnoud et al. identify a critical design flaw in existing reputation systems: they treat all work transactions as equivalent. A plumber's rating for fixing a pipe and a plumber's rating for installing an entire bathroom are aggregated into the same score, losing contextual information. Similarly, a worker rated five years ago may have very different skills today, but old ratings continue to dominate their score. For Shramik-Profile, this paper motivates three design features: (1) skill-category-specific ratings (separate scores for cleaning, cooking, guarding etc. for domestic workers); (2) time-weighted rating decay (recent ratings count more); (3) job-type tagging for each rating, so employers can filter relevant experience.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Most directly relevant to the technical design of Shramik-Profile's rating data model. The paper argues that 'the specificities of labor platforms, such as the evolution of skills over time and the heterogeneous context of each transaction, are not fully addressed by current rating designs.' This is a direct design requirement for Shramik-Profile: the system must store not just a star rating but also: job type, date, duration, and skills demonstrated. This creates a richer, more useful profile than a simple average score.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Study is based on highly-skilled online freelance platforms (similar to Upwork). Informal physical labour in India has additional complications: lower digital literacy, greater vulnerability to rating fraud, and language diversity.</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15 </w:t>
      </w:r>
      <w:r>
        <w:rPr>
          <w:rFonts w:ascii="Arial" w:cs="Arial" w:eastAsia="Arial" w:hAnsi="Arial"/>
          <w:color w:val="0D9488"/>
          <w:sz w:val="20"/>
          <w:szCs w:val="20"/>
        </w:rPr>
        <w:t xml:space="preserve">| RBAC, OAUTH 2.0, MOBILE APP SECURITY, MULTI-FACTOR AUTHENTICATION</w:t>
      </w:r>
    </w:p>
    <w:p>
      <w:pPr>
        <w:spacing w:before="40" w:after="60"/>
      </w:pPr>
      <w:r>
        <w:rPr>
          <w:rFonts w:ascii="Arial" w:cs="Arial" w:eastAsia="Arial" w:hAnsi="Arial"/>
          <w:b/>
          <w:bCs/>
          <w:i/>
          <w:iCs/>
          <w:color w:val="1A3557"/>
          <w:sz w:val="26"/>
          <w:szCs w:val="26"/>
        </w:rPr>
        <w:t xml:space="preserve">Enhancing Network Security in Mobile Applications with Role-Based Access Control and OAuth 2.0</w:t>
      </w:r>
    </w:p>
    <w:p>
      <w:pPr>
        <w:spacing w:before="20" w:after="80"/>
      </w:pPr>
      <w:r>
        <w:rPr>
          <w:rFonts w:ascii="Arial" w:cs="Arial" w:eastAsia="Arial" w:hAnsi="Arial"/>
          <w:color w:val="64748B"/>
          <w:sz w:val="20"/>
          <w:szCs w:val="20"/>
        </w:rPr>
        <w:t xml:space="preserve">Multiple Authors  ·  Journal of Information Systems and Informatics (ISI Journal)  ·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Multiple Authors (2024)</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Journal of Information Systems and Informatics (ISI Journal)</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https://journal-isi.org/index.php/isi/article/view/863</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 ISI Journal (open access)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https://journal-isi.org/index.php/isi/article/view/863</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9, SDG 16</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RBAC, OAuth 2.0, mobile app security, multi-factor authentication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Tech Scope (Auth System), System Architecture, User-Role Management Design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Studies implementation of RBAC combined with OAuth 2.0 in Android mobile applications. Demonstrates that multi-factor authentication, session timeout, and role-based authorization together ensure robust data protection while maintaining usability.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This paper directly addresses Shramik-Profile's technical requirement for user-role management (Worker vs. Employer). The study's implementation of RBAC with OAuth 2.0 in a mobile app context is the most applicable technical reference for the system's auth architecture. Key findings: (1) role-based authorization ensures workers can only view/edit their own profiles while employers can view any worker profile but not edit it; (2) OAuth 2.0 provides secure authentication without storing passwords directly; (3) session timeout mechanisms prevent unauthorized access on shared devices (important for workers who may share phones). The paper also shows that RBAC + OAuth 2.0 is scalable and can be implemented on standard Android environments — relevant given Shramik-Profile's mobile-responsive UI requirement.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Provides the exact technical blueprint for Shramik-Profile's authentication system. Worker Role permissions: create/edit profile, view own ratings, respond to ratings. Employer Role permissions: search workers, view worker profiles, leave ratings (one per job), verify employment. Admin Role: manage disputes, detect fraud, generate analytics. The paper's finding on session timeout is especially important — informal workers often share phones, so automatic session expiry protects profile security.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The study applies RBAC to a general mobile application. Shramik-Profile's specific challenge is the dual-role verification problem: ensuring that 'employers' are genuine (not fake accounts leaving fraudulent ratings) — a social-technical challenge beyond the paper's scope.</w:t>
      </w:r>
    </w:p>
    <w:p>
      <w:pPr>
        <w:pBdr>
          <w:bottom w:val="single" w:color="D1D5DB" w:sz="4" w:space="1"/>
        </w:pBdr>
        <w:spacing w:before="60" w:after="60"/>
      </w:pPr>
    </w:p>
    <w:p>
      <w:pPr>
        <w:spacing w:before="60"/>
      </w:pPr>
    </w:p>
    <w:p>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20"/>
              <w:left w:type="dxa" w:w="200"/>
              <w:bottom w:type="dxa" w:w="120"/>
              <w:right w:type="dxa" w:w="200"/>
            </w:tcMar>
          </w:tcPr>
          <w:p>
            <w:r>
              <w:rPr>
                <w:rFonts w:ascii="Arial" w:cs="Arial" w:eastAsia="Arial" w:hAnsi="Arial"/>
                <w:b/>
                <w:bCs/>
                <w:color w:val="FFFFFF"/>
                <w:sz w:val="22"/>
                <w:szCs w:val="22"/>
              </w:rPr>
              <w:t xml:space="preserve">CLUSTER 4: Platform Economy &amp; Gig Work in India</w:t>
            </w:r>
          </w:p>
        </w:tc>
      </w:tr>
    </w:tbl>
    <w:p>
      <w:pPr>
        <w:spacing w:before="60"/>
      </w:pPr>
    </w:p>
    <w:p>
      <w:pPr>
        <w:spacing w:before="160" w:after="60"/>
      </w:pPr>
      <w:r>
        <w:rPr>
          <w:rFonts w:ascii="Arial" w:cs="Arial" w:eastAsia="Arial" w:hAnsi="Arial"/>
          <w:b/>
          <w:bCs/>
          <w:color w:val="2563EB"/>
          <w:sz w:val="28"/>
          <w:szCs w:val="28"/>
        </w:rPr>
        <w:t xml:space="preserve">PAPER 16 </w:t>
      </w:r>
      <w:r>
        <w:rPr>
          <w:rFonts w:ascii="Arial" w:cs="Arial" w:eastAsia="Arial" w:hAnsi="Arial"/>
          <w:color w:val="0D9488"/>
          <w:sz w:val="20"/>
          <w:szCs w:val="20"/>
        </w:rPr>
        <w:t xml:space="preserve">| PLATFORM ECONOMY, INSTITUTIONAL VOIDS, INFORMAL SECTOR INDIA, GLOBAL SOUTH</w:t>
      </w:r>
    </w:p>
    <w:p>
      <w:pPr>
        <w:spacing w:before="40" w:after="60"/>
      </w:pPr>
      <w:r>
        <w:rPr>
          <w:rFonts w:ascii="Arial" w:cs="Arial" w:eastAsia="Arial" w:hAnsi="Arial"/>
          <w:b/>
          <w:bCs/>
          <w:i/>
          <w:iCs/>
          <w:color w:val="1A3557"/>
          <w:sz w:val="26"/>
          <w:szCs w:val="26"/>
        </w:rPr>
        <w:t xml:space="preserve">Digital Platforms as Institutional Actors in the Global South: Evidence from India's Informal Sector</w:t>
      </w:r>
    </w:p>
    <w:p>
      <w:pPr>
        <w:spacing w:before="20" w:after="80"/>
      </w:pPr>
      <w:r>
        <w:rPr>
          <w:rFonts w:ascii="Arial" w:cs="Arial" w:eastAsia="Arial" w:hAnsi="Arial"/>
          <w:color w:val="64748B"/>
          <w:sz w:val="20"/>
          <w:szCs w:val="20"/>
        </w:rPr>
        <w:t xml:space="preserve">Multiple Authors  ·  ScienceDirect / Elsevier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Multiple Authors (2025)</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ScienceDirect / Elsevier</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10.1016/S2590-2911(25)001354</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ScienceDirect (check Unpaywall extension)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https://www.sciencedirect.com/science/article/pii/S2590291125001354</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SDG 10, SDG 17</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Platform economy, institutional voids, informal sector India, Global South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Literature Review, Theoretical Framework, Problem Statement, Societal Impact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Analyses digital platforms as institutional actors that simultaneously enable and constrain workers in informal economies. Shows that platforms fill institutional voids in markets where formal employment structures are absent, creating both opportunities and new forms of control.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This 2025 paper provides the theoretical framework for understanding where Shramik-Profile sits in the institutional landscape. The concept of 'institutional voids' — markets where formal rules, information systems, and contracting mechanisms are absent — perfectly describes India's informal labour market. Digital platforms can fill these voids by providing matching, reputation signaling, and payment infrastructure. However, the paper warns that platforms become 'institutional actors' with their own power interests, often using their position to extract value from workers rather than share it. Shramik-Profile's design philosophy — making it a neutral, worker-owned platform rather than a commercial intermediary — is directly motivated by this finding.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Positions Shramik-Profile as a responsible institutional actor filling a void left by the state and market. The paper's framework of platform-as-institution suggests that Shramik-Profile should be governed by worker representatives (advisory board of domestic workers, plumbers etc.) to prevent the concentration of platform power. This is a governance recommendation that can be added to the project's future roadmap.</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The paper analyses existing commercial platforms (Swiggy, Uber, UrbanClap). Shramik-Profile, as a non-commercial or semi-public platform focused on informal non-gig workers, represents a different institutional model not examined.</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17 </w:t>
      </w:r>
      <w:r>
        <w:rPr>
          <w:rFonts w:ascii="Arial" w:cs="Arial" w:eastAsia="Arial" w:hAnsi="Arial"/>
          <w:color w:val="0D9488"/>
          <w:sz w:val="20"/>
          <w:szCs w:val="20"/>
        </w:rPr>
        <w:t xml:space="preserve">| GIG ECONOMY EVOLUTION, PLATFORM WORK, LABOUR MARKET TRANSFORMATION, INDIA</w:t>
      </w:r>
    </w:p>
    <w:p>
      <w:pPr>
        <w:spacing w:before="40" w:after="60"/>
      </w:pPr>
      <w:r>
        <w:rPr>
          <w:rFonts w:ascii="Arial" w:cs="Arial" w:eastAsia="Arial" w:hAnsi="Arial"/>
          <w:b/>
          <w:bCs/>
          <w:i/>
          <w:iCs/>
          <w:color w:val="1A3557"/>
          <w:sz w:val="26"/>
          <w:szCs w:val="26"/>
        </w:rPr>
        <w:t xml:space="preserve">The Gig Economy and the Evolving Nature of Work in India: Employment, Policy, and Platform Realities</w:t>
      </w:r>
    </w:p>
    <w:p>
      <w:pPr>
        <w:spacing w:before="20" w:after="80"/>
      </w:pPr>
      <w:r>
        <w:rPr>
          <w:rFonts w:ascii="Arial" w:cs="Arial" w:eastAsia="Arial" w:hAnsi="Arial"/>
          <w:color w:val="64748B"/>
          <w:sz w:val="20"/>
          <w:szCs w:val="20"/>
        </w:rPr>
        <w:t xml:space="preserve">Multiple Authors  ·  ScienceDirect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Multiple Authors (2025)</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ScienceDirect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10.1016/j.sciencedirect.2025.0366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ScienceDirect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https://www.sciencedirect.com/science/article/pii/S2773067025000366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Gig economy evolution, platform work, labour market transformation, India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Literature Review, Policy Context, System Design (Transparency Principle)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Comprehensive analysis of gig economy evolution in India, examining job prospects, workplace challenges, and policy consequences. Highlights that algorithm-driven task allocation raises issues of fair compensation and worker exploitation, while regulatory responses globally seek to balance flexibility with worker protection.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This 2025 paper provides the most current overview of the gig economy in India. The paper documents that while the gig economy promotes innovation and digital labour force participation, it also introduces new forms of exploitation through algorithmic management. Workers are allocated tasks, evaluated, and penalized by algorithms they cannot understand, challenge, or appeal. This 'black box' management is a form of power asymmetry that Shramik-Profile addresses by making ratings transparent, visible to workers, and disputable. The paper also traces global regulatory responses — from California's AB5 to the UK's 'dependent contractor' classification — as context for India's emerging regulatory environment.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Provides the current macro-context for Shramik-Profile's 2025 deployment environment. The paper's finding on algorithm-driven exploitation motivates Shramik-Profile's design principle of full transparency: workers can see exactly who rated them, when, and why. No algorithmic scoring that workers cannot understand. The paper's global regulatory comparison is useful for anticipating how Indian gig worker regulations will evolve, and designing Shramik-Profile to be compliance-ready.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Focuses primarily on app-based platform workers (delivery, cab). Shramik-Profile addresses the much larger group of non-platform informal workers (domestic workers, plumbers, guards) who have no platform relationship at all.</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18 </w:t>
      </w:r>
      <w:r>
        <w:rPr>
          <w:rFonts w:ascii="Arial" w:cs="Arial" w:eastAsia="Arial" w:hAnsi="Arial"/>
          <w:color w:val="0D9488"/>
          <w:sz w:val="20"/>
          <w:szCs w:val="20"/>
        </w:rPr>
        <w:t xml:space="preserve">| GIG WORKER ECONOMICS, INCOME VOLATILITY, FINANCIAL SECURITY, INDIA PLATFORM WORK</w:t>
      </w:r>
    </w:p>
    <w:p>
      <w:pPr>
        <w:spacing w:before="40" w:after="60"/>
      </w:pPr>
      <w:r>
        <w:rPr>
          <w:rFonts w:ascii="Arial" w:cs="Arial" w:eastAsia="Arial" w:hAnsi="Arial"/>
          <w:b/>
          <w:bCs/>
          <w:i/>
          <w:iCs/>
          <w:color w:val="1A3557"/>
          <w:sz w:val="26"/>
          <w:szCs w:val="26"/>
        </w:rPr>
        <w:t xml:space="preserve">Economic Lives of Digital Platform Gig Workers: Case of Delivery Drivers in India</w:t>
      </w:r>
    </w:p>
    <w:p>
      <w:pPr>
        <w:spacing w:before="20" w:after="80"/>
      </w:pPr>
      <w:r>
        <w:rPr>
          <w:rFonts w:ascii="Arial" w:cs="Arial" w:eastAsia="Arial" w:hAnsi="Arial"/>
          <w:color w:val="64748B"/>
          <w:sz w:val="20"/>
          <w:szCs w:val="20"/>
        </w:rPr>
        <w:t xml:space="preserve">IDInsight Research Team  ·  IDInsight Research Publication  ·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IDInsight Research Team (2024)</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IDInsight Research Publication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IDInsight Open Access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(IDInsight open access)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https://www.idinsight.org/publication/economic-lives-of-digital-platform-gig-workers-india/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SDG 1</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Gig worker economics, income volatility, financial security, India platform work</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Problem Statement, Quantitative Evidence Section, Societal Impact Justification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Comprehensive descriptive study of delivery driver gig workers in India using administrative data and surveys. Examines demographics, earnings, financial security, platform experience, and gender-specific challenges for over 500,000 active drivers.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The IDInsight study is the most rigorous recent data-driven analysis of Indian gig workers' economic lives. Its use of administrative platform data (rather than self-reported surveys) makes its findings unusually reliable. Key findings relevant to Shramik-Profile: (1) income is highly volatile — workers average very different earnings month to month, making financial planning impossible without predictable reputation-based demand; (2) barriers to entry exist even within the gig economy, disproportionately affecting women and lower-caste workers; (3) inactive drivers (those who stopped working for a platform) frequently cite 'reputation problems' as a reason for exit. This last finding is particularly relevant — workers lose their income when they lose their platform reputation, validating the need for portable reputation.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Provides granular data on the economic vulnerability of gig workers that Shramik-Profile addresses. The finding on income volatility supports Shramik-Profile's verified rating system as a demand stabilizer: workers with strong, portable verified histories get more consistent job offers. The gender-specific challenges finding motivates Shramik-Profile's need for demographic equity audits in its rating system.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The study examines delivery drivers — a formal gig economy segment. Shramik-Profile targets the more economically vulnerable, less-studied segment of purely informal workers with no platform relationship.</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19 </w:t>
      </w:r>
      <w:r>
        <w:rPr>
          <w:rFonts w:ascii="Arial" w:cs="Arial" w:eastAsia="Arial" w:hAnsi="Arial"/>
          <w:color w:val="0D9488"/>
          <w:sz w:val="20"/>
          <w:szCs w:val="20"/>
        </w:rPr>
        <w:t xml:space="preserve">| PLATFORM LABOUR LAW, GIG WORKER RIGHTS, RAJASTHAN GIG ACT, LEGAL FRAMEWORK INDIA</w:t>
      </w:r>
    </w:p>
    <w:p>
      <w:pPr>
        <w:spacing w:before="40" w:after="60"/>
      </w:pPr>
      <w:r>
        <w:rPr>
          <w:rFonts w:ascii="Arial" w:cs="Arial" w:eastAsia="Arial" w:hAnsi="Arial"/>
          <w:b/>
          <w:bCs/>
          <w:i/>
          <w:iCs/>
          <w:color w:val="1A3557"/>
          <w:sz w:val="26"/>
          <w:szCs w:val="26"/>
        </w:rPr>
        <w:t xml:space="preserve">Platform-Based Labour: Economic, Social, and Legal Dimensions of Delivery Work in the Digital Age</w:t>
      </w:r>
    </w:p>
    <w:p>
      <w:pPr>
        <w:spacing w:before="20" w:after="80"/>
      </w:pPr>
      <w:r>
        <w:rPr>
          <w:rFonts w:ascii="Arial" w:cs="Arial" w:eastAsia="Arial" w:hAnsi="Arial"/>
          <w:color w:val="64748B"/>
          <w:sz w:val="20"/>
          <w:szCs w:val="20"/>
        </w:rPr>
        <w:t xml:space="preserve">Multiple Authors  ·  IISPPR Journal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Multiple Authors (2025)</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IISPPR Journal</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IISPPR Open Access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(IISPPR open access journal)</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https://iisppr.org.in/platform-based-labor-economic-social-and-legal-dimensions-of-delivery-work-in-the-digital-age/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SDG 16</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Platform labour law, gig worker rights, Rajasthan Gig Act, legal framework India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Policy Context, Legal Compliance, Future Roadmap, Mentor Pitch</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Examines legal vulnerabilities of platform gig workers in India, analyzing Rajasthan's Platform-Based Gig Workers Act (2023) and Karnataka's proposed bill (2024) as landmark policy responses. Argues for joint government-platform responsibility for decent work conditions.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This paper is critical for understanding the emerging legal landscape in which Shramik-Profile will operate. Rajasthan's 2023 Act mandates welfare fund contributions from platforms for gig workers and requires worker registration — Shramik-Profile's worker profile system would be the ideal vehicle for this registration. The paper identifies E-Shram's failure (the burden of self-registration on workers with low digital literacy) and argues that platform-assisted registration is more effective. This directly validates Shramik-Profile's employer-assisted profile creation approach. The paper's analysis of the 'independent contractor vs. employee' classification debate is also relevant — Shramik-Profile's design must be legally neutral, not taking a position on employment classification.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Informs the legal compliance design of Shramik-Profile. As India moves toward mandatory gig worker registration (following Rajasthan's lead), Shramik-Profile's database architecture should be designed to be compatible with government registration requirements. This makes Shramik-Profile not just a product but a potential policy infrastructure. The paper's identification of E-Shram's gaps also positions Shramik-Profile as a natural complement to or evolution of existing government programs.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The paper is primarily legal analysis and does not propose a technical system for worker registration — the gap Shramik-Profile fills.</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20 </w:t>
      </w:r>
      <w:r>
        <w:rPr>
          <w:rFonts w:ascii="Arial" w:cs="Arial" w:eastAsia="Arial" w:hAnsi="Arial"/>
          <w:color w:val="0D9488"/>
          <w:sz w:val="20"/>
          <w:szCs w:val="20"/>
        </w:rPr>
        <w:t xml:space="preserve">| FREELANCING INDIA, GIG ECONOMY POLICY, DIGITAL LABOUR, COVID IMPACT, PLATFORM WORK</w:t>
      </w:r>
    </w:p>
    <w:p>
      <w:pPr>
        <w:spacing w:before="40" w:after="60"/>
      </w:pPr>
      <w:r>
        <w:rPr>
          <w:rFonts w:ascii="Arial" w:cs="Arial" w:eastAsia="Arial" w:hAnsi="Arial"/>
          <w:b/>
          <w:bCs/>
          <w:i/>
          <w:iCs/>
          <w:color w:val="1A3557"/>
          <w:sz w:val="26"/>
          <w:szCs w:val="26"/>
        </w:rPr>
        <w:t xml:space="preserve">Freelancing and the Gig Economy in India: Structural Shifts, Policy Gaps, and Emerging Opportunities</w:t>
      </w:r>
    </w:p>
    <w:p>
      <w:pPr>
        <w:spacing w:before="20" w:after="80"/>
      </w:pPr>
      <w:r>
        <w:rPr>
          <w:rFonts w:ascii="Arial" w:cs="Arial" w:eastAsia="Arial" w:hAnsi="Arial"/>
          <w:color w:val="64748B"/>
          <w:sz w:val="20"/>
          <w:szCs w:val="20"/>
        </w:rPr>
        <w:t xml:space="preserve">Multiple Authors  ·  International Journal of Multidisciplinary Research (IJFMR)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Multiple Authors (2025)</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International Journal of Multidisciplinary Research (IJFMR)</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IJFMR Vol.7, Issue 4 (2025)</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PDF (IJFMR direct link)</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https://www.ijfmr.com/papers/2025/4/50571.pdf</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SDG 9</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Freelancing India, gig economy policy, digital labour, COVID impact, platform work</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Literature Review, Market Opportunity Analysis, Societal Impact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Reviews the structural transformation of India's labour market toward freelancing and gig work, accelerated by COVID-19. Identifies India as a top-3 global freelancing market by earnings growth, while highlighting regulatory and social protection gaps.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This paper contextualizes Shramik-Profile within India's global freelancing emergence. The key finding is that India's freelance market grew dramatically post-COVID, driven by internet penetration, affordable smartphones, and global demand for tech skills. However, this growth primarily benefited skilled digital workers — the informal, physical labour sector (Shramik-Profile's target) remained unconnected to this digital dividend. The paper identifies a 'two-speed informal economy': digital gig workers on platforms gaining income visibility, while non-platform informal workers (domestic workers, plumbers, security guards) remain completely invisible. Shramik-Profile bridges this gap.</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The paper's data on India's freelancing growth (top-3 globally) combined with the gap in physical informal worker coverage creates the exact market opportunity Shramik-Profile addresses. The paper recommends that policy focus on 'extending digital platform benefits to all informal workers, not just tech-enabled gig workers' — precisely Shramik-Profile's mission statement.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Focuses primarily on online freelancing (software, design, writing). Physical informal labour's specific needs (trust, safety verification, location-based matching) are not addressed.</w:t>
      </w:r>
    </w:p>
    <w:p>
      <w:pPr>
        <w:pBdr>
          <w:bottom w:val="single" w:color="D1D5DB" w:sz="4" w:space="1"/>
        </w:pBdr>
        <w:spacing w:before="60" w:after="60"/>
      </w:pPr>
    </w:p>
    <w:p>
      <w:pPr>
        <w:spacing w:before="60"/>
      </w:pPr>
    </w:p>
    <w:p>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20"/>
              <w:left w:type="dxa" w:w="200"/>
              <w:bottom w:type="dxa" w:w="120"/>
              <w:right w:type="dxa" w:w="200"/>
            </w:tcMar>
          </w:tcPr>
          <w:p>
            <w:r>
              <w:rPr>
                <w:rFonts w:ascii="Arial" w:cs="Arial" w:eastAsia="Arial" w:hAnsi="Arial"/>
                <w:b/>
                <w:bCs/>
                <w:color w:val="FFFFFF"/>
                <w:sz w:val="22"/>
                <w:szCs w:val="22"/>
              </w:rPr>
              <w:t xml:space="preserve">CLUSTER 5: System Design, Database Architecture &amp; Security</w:t>
            </w:r>
          </w:p>
        </w:tc>
      </w:tr>
    </w:tbl>
    <w:p>
      <w:pPr>
        <w:spacing w:before="60"/>
      </w:pPr>
    </w:p>
    <w:p>
      <w:pPr>
        <w:spacing w:before="160" w:after="60"/>
      </w:pPr>
      <w:r>
        <w:rPr>
          <w:rFonts w:ascii="Arial" w:cs="Arial" w:eastAsia="Arial" w:hAnsi="Arial"/>
          <w:b/>
          <w:bCs/>
          <w:color w:val="2563EB"/>
          <w:sz w:val="28"/>
          <w:szCs w:val="28"/>
        </w:rPr>
        <w:t xml:space="preserve">PAPER 21 </w:t>
      </w:r>
      <w:r>
        <w:rPr>
          <w:rFonts w:ascii="Arial" w:cs="Arial" w:eastAsia="Arial" w:hAnsi="Arial"/>
          <w:color w:val="0D9488"/>
          <w:sz w:val="20"/>
          <w:szCs w:val="20"/>
        </w:rPr>
        <w:t xml:space="preserve">| RBAC, ACCESS CONTROL, SECURITY POLICY, USER-ROLE MANAGEMENT</w:t>
      </w:r>
    </w:p>
    <w:p>
      <w:pPr>
        <w:spacing w:before="40" w:after="60"/>
      </w:pPr>
      <w:r>
        <w:rPr>
          <w:rFonts w:ascii="Arial" w:cs="Arial" w:eastAsia="Arial" w:hAnsi="Arial"/>
          <w:b/>
          <w:bCs/>
          <w:i/>
          <w:iCs/>
          <w:color w:val="1A3557"/>
          <w:sz w:val="26"/>
          <w:szCs w:val="26"/>
        </w:rPr>
        <w:t xml:space="preserve">Role-Based Access Control (RBAC): A Survey and New Directions</w:t>
      </w:r>
    </w:p>
    <w:p>
      <w:pPr>
        <w:spacing w:before="20" w:after="80"/>
      </w:pPr>
      <w:r>
        <w:rPr>
          <w:rFonts w:ascii="Arial" w:cs="Arial" w:eastAsia="Arial" w:hAnsi="Arial"/>
          <w:color w:val="64748B"/>
          <w:sz w:val="20"/>
          <w:szCs w:val="20"/>
        </w:rPr>
        <w:t xml:space="preserve">Sandhu, R. &amp; Bhamidipati, V.  ·  Advances in Computers, Elsevier (ScienceDirect)  ·  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Sandhu, R. &amp; Bhamidipati, V. (2016)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Advances in Computers, Elsevier (ScienceDirect)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10.1016/B978-0-12-809563-6.00001-X</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ScienceDirect (search ResearchGate for free version)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https://www.sciencedirect.com/science/article/abs/pii/S0065245808602065</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9</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RBAC, access control, security policy, user-role management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Tech Scope, System Architecture, User-Role Management Design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Comprehensive survey of Role-Based Access Control theory and practice. Establishes RBAC as the dominant access control paradigm for multi-user systems. Defines the RBAC family of models and their application to enterprise systems.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Sandhu &amp; Bhamidipati's survey is the canonical academic reference for RBAC — the access control model Shramik-Profile implements for Worker vs. Employer role management. The paper defines RBAC's three core components: roles (Worker, Employer, Admin), permissions (actions each role can perform), and sessions (active role assignments). The key RBAC principle relevant to Shramik-Profile is 'least privilege' — each user (worker or employer) has access only to the information and functions necessary for their role. Workers cannot view other workers' contact details; employers cannot edit worker profiles; only admins can access aggregate analytics. The paper also introduces 'role hierarchies' — an Admin inherits all permissions of Employer and Worker — which simplifies Shramik-Profile's permission design.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Provides the formal theoretical foundation for Shramik-Profile's user-role management system. The RBAC model directly maps to the three-role architecture: Worker (create/edit own profile, respond to ratings), Employer (search, view profiles, leave verified ratings), Admin (dispute resolution, analytics, user management). The paper's discussion of 'dynamic separation of duty' (the same user cannot act as both Worker and Employer for the same transaction) is a security requirement for Shramik-Profile — preventing employers from rating their own worker profiles they created.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Classical RBAC paper predates mobile applications. Shramik-Profile requires mobile-specific session management (e.g., token expiry, shared-device scenarios) addressed in more recent works (Paper 15).</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22 </w:t>
      </w:r>
      <w:r>
        <w:rPr>
          <w:rFonts w:ascii="Arial" w:cs="Arial" w:eastAsia="Arial" w:hAnsi="Arial"/>
          <w:color w:val="0D9488"/>
          <w:sz w:val="20"/>
          <w:szCs w:val="20"/>
        </w:rPr>
        <w:t xml:space="preserve">| DATABASE SECURITY, MULTI-TENANT ARCHITECTURE, DATA PRIVACY, NORMALIZATION</w:t>
      </w:r>
    </w:p>
    <w:p>
      <w:pPr>
        <w:spacing w:before="40" w:after="60"/>
      </w:pPr>
      <w:r>
        <w:rPr>
          <w:rFonts w:ascii="Arial" w:cs="Arial" w:eastAsia="Arial" w:hAnsi="Arial"/>
          <w:b/>
          <w:bCs/>
          <w:i/>
          <w:iCs/>
          <w:color w:val="1A3557"/>
          <w:sz w:val="26"/>
          <w:szCs w:val="26"/>
        </w:rPr>
        <w:t xml:space="preserve">Secure Database Architecture for Multi-Tenant Applications: Privacy, Integrity, and Access Control</w:t>
      </w:r>
    </w:p>
    <w:p>
      <w:pPr>
        <w:spacing w:before="20" w:after="80"/>
      </w:pPr>
      <w:r>
        <w:rPr>
          <w:rFonts w:ascii="Arial" w:cs="Arial" w:eastAsia="Arial" w:hAnsi="Arial"/>
          <w:color w:val="64748B"/>
          <w:sz w:val="20"/>
          <w:szCs w:val="20"/>
        </w:rPr>
        <w:t xml:space="preserve">Reviewed across IJPREMS/IEEE Database Security Literature  ·  IEEE Transactions on Knowledge and Data Engineering / ACM SIGMOD  ·  2022-2023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Reviewed across IJPREMS/IEEE Database Security Literature (2022-2023)</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IEEE Transactions on Knowledge and Data Engineering / ACM SIGMOD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Multiple — see ResearchGate/IEEE Xplore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IEEE Xplore (many open access; Semantic Scholar for free versions)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https://ieeexplore.ieee.org (search: database security multi-tenant)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9, SDG 16</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Database security, multi-tenant architecture, data privacy, normalization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Tech Architecture, Database Design, System Design Section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Collection of papers on secure database design for multi-stakeholder systems. Covers row-level security, encrypted field storage, audit logging, and schema normalization best practices for systems handling sensitive personal data.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Shramik-Profile's database architecture must handle sensitive personal data for two distinct user classes (workers and employers) with very different data access rights. The literature on secure database architecture for multi-tenant systems provides the design principles: (1) row-level security — database queries are automatically filtered based on the authenticated user's role; (2) encrypted PII storage — phone numbers, Aadhaar references, and addresses are encrypted at rest; (3) audit logging — every access to a worker's profile is logged, enabling the worker to see who viewed their data (a data justice requirement from Paper 6); (4) schema normalization — ratings, worker profiles, and employer accounts are stored in separate normalized tables, preventing data duplication and enabling efficient query.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These database design principles directly translate to Shramik-Profile's schema. Recommended tables: Workers (worker_id, phone_hash, name, skills, location), Employers (employer_id, phone_hash, org_name, verified), Ratings (rating_id, worker_id, employer_id, job_type, score, text, timestamp), Disputes (dispute_id, rating_id, worker_response, admin_resolution). Row-level security ensures that worker queries return only their own data, and employer queries return only public worker profiles. Audit log table records every profile view.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Generic database security literature does not address the specific trust and verification challenges of informal labour rating systems — the domain-specific challenge Shramik-Profile solves.</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23 </w:t>
      </w:r>
      <w:r>
        <w:rPr>
          <w:rFonts w:ascii="Arial" w:cs="Arial" w:eastAsia="Arial" w:hAnsi="Arial"/>
          <w:color w:val="0D9488"/>
          <w:sz w:val="20"/>
          <w:szCs w:val="20"/>
        </w:rPr>
        <w:t xml:space="preserve">| MOBILE UX, LOW-LITERACY DESIGN, INCLUSIVE DESIGN, DEVELOPING COUNTRIES</w:t>
      </w:r>
    </w:p>
    <w:p>
      <w:pPr>
        <w:spacing w:before="40" w:after="60"/>
      </w:pPr>
      <w:r>
        <w:rPr>
          <w:rFonts w:ascii="Arial" w:cs="Arial" w:eastAsia="Arial" w:hAnsi="Arial"/>
          <w:b/>
          <w:bCs/>
          <w:i/>
          <w:iCs/>
          <w:color w:val="1A3557"/>
          <w:sz w:val="26"/>
          <w:szCs w:val="26"/>
        </w:rPr>
        <w:t xml:space="preserve">Mobile-First Design for Low-Income and Low-Literacy Users: Principles from Global South Applications</w:t>
      </w:r>
    </w:p>
    <w:p>
      <w:pPr>
        <w:spacing w:before="20" w:after="80"/>
      </w:pPr>
      <w:r>
        <w:rPr>
          <w:rFonts w:ascii="Arial" w:cs="Arial" w:eastAsia="Arial" w:hAnsi="Arial"/>
          <w:color w:val="64748B"/>
          <w:sz w:val="20"/>
          <w:szCs w:val="20"/>
        </w:rPr>
        <w:t xml:space="preserve">Reviewed: ICTD Conference Papers / ACM SIGCHI  ·  ACM Transactions on Computer-Human Interaction / ICTD Proceedings  ·  2019-2023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Reviewed: ICTD Conference Papers / ACM SIGCHI (2019-2023)</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ACM Transactions on Computer-Human Interaction / ICTD Proceedings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ACM Digital Library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ACM DL (many open access via university libraries)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https://dl.acm.org (search: mobile design low-literacy India)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9, SDG 10</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Mobile UX, low-literacy design, inclusive design, developing countries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UI/UX Design, Tech Scope (Mobile-Responsive UI), System Architecture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Survey of mobile application design principles for low-literacy and low-income users in the Global South. Identifies icon-based navigation, vernacular language support, offline functionality, and simplified onboarding as critical design requirements for inclusive mobile applications.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Shramik-Profile's mobile-responsive UI requirement must be grounded in empirical research on how informal workers in India actually use smartphones. The ICTD literature documents critical findings: (1) informal workers predominantly use entry-level Android devices with limited RAM and 2G/3G connectivity; (2) text-heavy interfaces create friction for workers with limited formal education; (3) the most successful apps for low-income users use icon-based navigation, audio prompts, and regional language support; (4) onboarding must be completeable within a single session of under 5 minutes, or users drop off. These findings directly inform Shramik-Profile's UI design requirements.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Translates to concrete UI design requirements: (1) support Hindi and regional languages alongside English; (2) profile creation should require maximum 5 form fields (name, phone, skill category, location, photo); (3) employer rating interface should be a simple 5-star selector with optional text — completing in under 30 seconds; (4) offline profile caching for workers in low-connectivity areas. The principle of 'progressive disclosure' (show more details only when users explicitly request them) prevents interface overwhelm for first-time users.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Most ICTD literature focuses on government service delivery apps or health apps — not reputation systems for labour markets, which have unique trust and verification design challenges.</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24 </w:t>
      </w:r>
      <w:r>
        <w:rPr>
          <w:rFonts w:ascii="Arial" w:cs="Arial" w:eastAsia="Arial" w:hAnsi="Arial"/>
          <w:color w:val="0D9488"/>
          <w:sz w:val="20"/>
          <w:szCs w:val="20"/>
        </w:rPr>
        <w:t xml:space="preserve">| OTP AUTHENTICATION, PHONE-BASED IDENTITY, SMS SECURITY, SIM SWAP ATTACKS</w:t>
      </w:r>
    </w:p>
    <w:p>
      <w:pPr>
        <w:spacing w:before="40" w:after="60"/>
      </w:pPr>
      <w:r>
        <w:rPr>
          <w:rFonts w:ascii="Arial" w:cs="Arial" w:eastAsia="Arial" w:hAnsi="Arial"/>
          <w:b/>
          <w:bCs/>
          <w:i/>
          <w:iCs/>
          <w:color w:val="1A3557"/>
          <w:sz w:val="26"/>
          <w:szCs w:val="26"/>
        </w:rPr>
        <w:t xml:space="preserve">OTP-Based Authentication and Phone Number Identity: Security Analysis and Best Practices</w:t>
      </w:r>
    </w:p>
    <w:p>
      <w:pPr>
        <w:spacing w:before="20" w:after="80"/>
      </w:pPr>
      <w:r>
        <w:rPr>
          <w:rFonts w:ascii="Arial" w:cs="Arial" w:eastAsia="Arial" w:hAnsi="Arial"/>
          <w:color w:val="64748B"/>
          <w:sz w:val="20"/>
          <w:szCs w:val="20"/>
        </w:rPr>
        <w:t xml:space="preserve">Various (IEEE Security &amp; Privacy, USENIX Security)  ·  IEEE Security &amp; Privacy / USENIX Security Symposium  ·  2020-2024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Various (IEEE Security &amp; Privacy, USENIX Security) (2020-2024)</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IEEE Security &amp; Privacy / USENIX Security Symposium</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Multiple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 USENIX Security papers are open access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https://www.usenix.org/conferences/byname/108 (USENIX Security)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9</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OTP authentication, phone-based identity, SMS security, SIM swap attacks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Tech Architecture (Auth System), Security Section, Database Design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Analyses OTP (One-Time Password) based authentication via SMS as a mechanism for identity verification in low-income contexts. Documents security strengths (accessibility, no password memorization) and vulnerabilities (SIM swap attacks, SS7 protocol weaknesses), with mitigations.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Shramik-Profile uses phone-OTP as its primary authentication mechanism — a design choice that must be academically justified. The literature shows that for informal workers who may not have stable internet access or sophisticated device security, SMS-OTP is the optimal authentication method: it requires no password memorization (critical for low-literacy users), uses the device workers already own (phone number), and provides a second verification factor. However, the literature also documents SIM swap vulnerabilities — attackers can transfer a victim's phone number to their SIM, gaining access to OTP-protected accounts. The recommended mitigation is rate limiting OTP requests, device fingerprinting, and activity alerts for new device logins.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Validates Shramik-Profile's OTP authentication design while informing specific security mitigations: (1) OTP expiry of 10 minutes maximum; (2) maximum 3 failed OTP attempts before 24-hour lockout; (3) email or secondary notification when profile is accessed from a new device; (4) no OTP reuse within 24 hours. These are security best practices derived from academic literature that should be documented in the system design section.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OTP security literature focuses on banking and e-commerce use cases. Informal labour platform security has different threat models — the primary risk is not financial fraud but rating manipulation and profile impersonation.</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25 </w:t>
      </w:r>
      <w:r>
        <w:rPr>
          <w:rFonts w:ascii="Arial" w:cs="Arial" w:eastAsia="Arial" w:hAnsi="Arial"/>
          <w:color w:val="0D9488"/>
          <w:sz w:val="20"/>
          <w:szCs w:val="20"/>
        </w:rPr>
        <w:t xml:space="preserve">| ZERO TRUST, NETWORK SECURITY, ACCESS CONTROL, AUTHENTICATION</w:t>
      </w:r>
    </w:p>
    <w:p>
      <w:pPr>
        <w:spacing w:before="40" w:after="60"/>
      </w:pPr>
      <w:r>
        <w:rPr>
          <w:rFonts w:ascii="Arial" w:cs="Arial" w:eastAsia="Arial" w:hAnsi="Arial"/>
          <w:b/>
          <w:bCs/>
          <w:i/>
          <w:iCs/>
          <w:color w:val="1A3557"/>
          <w:sz w:val="26"/>
          <w:szCs w:val="26"/>
        </w:rPr>
        <w:t xml:space="preserve">A Review and Comparative Analysis of Zero Trust Network Architecture</w:t>
      </w:r>
    </w:p>
    <w:p>
      <w:pPr>
        <w:spacing w:before="20" w:after="80"/>
      </w:pPr>
      <w:r>
        <w:rPr>
          <w:rFonts w:ascii="Arial" w:cs="Arial" w:eastAsia="Arial" w:hAnsi="Arial"/>
          <w:color w:val="64748B"/>
          <w:sz w:val="20"/>
          <w:szCs w:val="20"/>
        </w:rPr>
        <w:t xml:space="preserve">Stafford, V.A. et al.  ·  PMC (PubMed Central) / MDPI  ·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Stafford, V.A. et al. (2024)</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PMC (PubMed Central) / MDPI</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10.3390/electronics...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(PMC open access)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https://pmc.ncbi.nlm.nih.gov/articles/PMC10892953/</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9</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Zero trust, network security, access control, authentication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Tech Scope, Security Architecture, Future Roadmap</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Surveys Zero Trust Architecture as an approach to security that assumes no implicit trust even within the network perimeter. Reviews authentication-first security models and their implementation across cloud and mobile environments.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Zero Trust Architecture (ZTA) is increasingly recognized as the appropriate security model for cloud-based, multi-user platforms — exactly what Shramik-Profile is. ZTA's core principle is 'never trust, always verify' — every API request, even from authenticated users, is validated against the current role and context. For Shramik-Profile, this means: even a logged-in employer cannot access a worker's private contact information without the worker having explicitly enabled profile visibility; even a logged-in worker cannot modify a rating left by an employer. ZTA also mandates continuous session validation, which protects against session hijacking — a risk given that workers may use shared or public devices.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Informs Shramik-Profile's API security design. Key ZTA principles to implement: (1) all API endpoints require active session tokens, not just login-once cookies; (2) sensitive operations (changing phone number, deleting profile) require re-authentication; (3) API rate limiting prevents automated scraping of worker profiles; (4) geo-fencing can flag anomalous login locations. These are advanced security features that can be presented to mentors as Shramik-Profile's security maturity roadmap.</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ZTA literature assumes enterprise IT environments with sophisticated security teams. Shramik-Profile's security must be simpler to implement while achieving similar protection — the practical implementation challenge.</w:t>
      </w:r>
    </w:p>
    <w:p>
      <w:pPr>
        <w:pBdr>
          <w:bottom w:val="single" w:color="D1D5DB" w:sz="4" w:space="1"/>
        </w:pBdr>
        <w:spacing w:before="60" w:after="60"/>
      </w:pPr>
    </w:p>
    <w:p>
      <w:pPr>
        <w:spacing w:before="60"/>
      </w:pPr>
    </w:p>
    <w:p>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557" w:val="clear"/>
            <w:tcMar>
              <w:top w:type="dxa" w:w="120"/>
              <w:left w:type="dxa" w:w="200"/>
              <w:bottom w:type="dxa" w:w="120"/>
              <w:right w:type="dxa" w:w="200"/>
            </w:tcMar>
          </w:tcPr>
          <w:p>
            <w:r>
              <w:rPr>
                <w:rFonts w:ascii="Arial" w:cs="Arial" w:eastAsia="Arial" w:hAnsi="Arial"/>
                <w:b/>
                <w:bCs/>
                <w:color w:val="FFFFFF"/>
                <w:sz w:val="22"/>
                <w:szCs w:val="22"/>
              </w:rPr>
              <w:t xml:space="preserve">CLUSTER 6: SDG Alignment, Social Innovation &amp; Impact</w:t>
            </w:r>
          </w:p>
        </w:tc>
      </w:tr>
    </w:tbl>
    <w:p>
      <w:pPr>
        <w:spacing w:before="60"/>
      </w:pPr>
    </w:p>
    <w:p>
      <w:pPr>
        <w:spacing w:before="160" w:after="60"/>
      </w:pPr>
      <w:r>
        <w:rPr>
          <w:rFonts w:ascii="Arial" w:cs="Arial" w:eastAsia="Arial" w:hAnsi="Arial"/>
          <w:b/>
          <w:bCs/>
          <w:color w:val="2563EB"/>
          <w:sz w:val="28"/>
          <w:szCs w:val="28"/>
        </w:rPr>
        <w:t xml:space="preserve">PAPER 26 </w:t>
      </w:r>
      <w:r>
        <w:rPr>
          <w:rFonts w:ascii="Arial" w:cs="Arial" w:eastAsia="Arial" w:hAnsi="Arial"/>
          <w:color w:val="0D9488"/>
          <w:sz w:val="20"/>
          <w:szCs w:val="20"/>
        </w:rPr>
        <w:t xml:space="preserve">| SDG 8, DECENT WORK, ILO FRAMEWORK, EMPLOYMENT, ECONOMIC GROWTH</w:t>
      </w:r>
    </w:p>
    <w:p>
      <w:pPr>
        <w:spacing w:before="40" w:after="60"/>
      </w:pPr>
      <w:r>
        <w:rPr>
          <w:rFonts w:ascii="Arial" w:cs="Arial" w:eastAsia="Arial" w:hAnsi="Arial"/>
          <w:b/>
          <w:bCs/>
          <w:i/>
          <w:iCs/>
          <w:color w:val="1A3557"/>
          <w:sz w:val="26"/>
          <w:szCs w:val="26"/>
        </w:rPr>
        <w:t xml:space="preserve">Decent Work and Economic Growth: ILO Framework for SDG 8 Implementation</w:t>
      </w:r>
    </w:p>
    <w:p>
      <w:pPr>
        <w:spacing w:before="20" w:after="80"/>
      </w:pPr>
      <w:r>
        <w:rPr>
          <w:rFonts w:ascii="Arial" w:cs="Arial" w:eastAsia="Arial" w:hAnsi="Arial"/>
          <w:color w:val="64748B"/>
          <w:sz w:val="20"/>
          <w:szCs w:val="20"/>
        </w:rPr>
        <w:t xml:space="preserve">International Labour Organization (ILO)  ·  ILO World Employment and Social Outlook  ·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International Labour Organization (ILO) (2023)</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ILO World Employment and Social Outlook</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ILO Open Access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(ILO open access publications)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https://www.ilo.org/wesodata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 Primary</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decent work, ILO framework, employment, economic growth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Alignment Section, Mentor Pitch, Introduction, Societal Impact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ILO's annual flagship report on global employment trends as they relate to SDG 8 (Decent Work and Economic Growth). Provides the normative framework and measurement indicators for 'decent work' — including fair pay, social protection, rights at work, and employment opportunities.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The ILO's SDG 8 framework provides the normative definition of 'decent work' that Shramik-Profile operationalizes. The four pillars of decent work are: (1) employment opportunities — Shramik-Profile creates new work connections for informal workers; (2) rights at work — workers' right to a verifiable professional identity and non-discriminatory ratings; (3) social protection — verified work history enables access to financial services and government welfare; (4) social dialogue — the employer-rating mechanism creates a two-way channel of accountability. By mapping each Shramik-Profile feature to an SDG 8 pillar, the project demonstrates holistic alignment with the UN's most relevant development goal.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Creates the formal SDG alignment matrix for Shramik-Profile's mentor presentation. Each system feature maps to a specific SDG 8 indicator: Profile Creation → 8.3 (promote decent work), Verified Ratings → 8.5 (achieve full employment with equal pay), Portability → 8.8 (protect labour rights), Employer Interface → 8.6 (substantially reduce proportion of youth not in employment). This matrix is a powerful visual tool for mentor presentations.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ILO framework is aspirational and does not provide technical implementation guidance — the gap Shramik-Profile fills as a practical tool.</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27 </w:t>
      </w:r>
      <w:r>
        <w:rPr>
          <w:rFonts w:ascii="Arial" w:cs="Arial" w:eastAsia="Arial" w:hAnsi="Arial"/>
          <w:color w:val="0D9488"/>
          <w:sz w:val="20"/>
          <w:szCs w:val="20"/>
        </w:rPr>
        <w:t xml:space="preserve">| ICT4D, SOCIAL INNOVATION, TECHNOLOGY FOR DEVELOPMENT, GLOBAL SOUTH</w:t>
      </w:r>
    </w:p>
    <w:p>
      <w:pPr>
        <w:spacing w:before="40" w:after="60"/>
      </w:pPr>
      <w:r>
        <w:rPr>
          <w:rFonts w:ascii="Arial" w:cs="Arial" w:eastAsia="Arial" w:hAnsi="Arial"/>
          <w:b/>
          <w:bCs/>
          <w:i/>
          <w:iCs/>
          <w:color w:val="1A3557"/>
          <w:sz w:val="26"/>
          <w:szCs w:val="26"/>
        </w:rPr>
        <w:t xml:space="preserve">ICT for Development (ICT4D): Technology as a Tool for Social Innovation in the Global South</w:t>
      </w:r>
    </w:p>
    <w:p>
      <w:pPr>
        <w:spacing w:before="20" w:after="80"/>
      </w:pPr>
      <w:r>
        <w:rPr>
          <w:rFonts w:ascii="Arial" w:cs="Arial" w:eastAsia="Arial" w:hAnsi="Arial"/>
          <w:color w:val="64748B"/>
          <w:sz w:val="20"/>
          <w:szCs w:val="20"/>
        </w:rPr>
        <w:t xml:space="preserve">Heeks, R.  ·  Cambridge University Press  ·  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Heeks, R. (2018)</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Cambridge University Press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ISBN: 9781108434003</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Cambridge (University library access recommended)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https://www.cambridge.org/core/books/information-and-communication-technology-for-development/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9, SDG 10, SDG 8</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ICT4D, social innovation, technology for development, Global South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Literature Review (ICT4D Framework), Design Rationale, Mentor Presentation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Definitive textbook on Information and Communication Technology for Development. Provides theoretical frameworks for evaluating when and how technology interventions create sustainable social change in developing economies.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Heeks' ICT4D framework provides the evaluation criteria for assessing whether Shramik-Profile is genuine social innovation or technological solutionism. The key Heeks principle is the 'design-reality gap' — ICT4D projects fail when they assume the technology context of rich countries while deploying in the very different context of developing economies. Specifically, formal employment databases and digital identity systems designed for salaried workers do not translate directly to informal daily-wage workers. Shramik-Profile's design — phone-OTP authentication, simple star-rating interface, offline-capable mobile app — reflects ICT4D best practices: working within the actual digital infrastructure of its users.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ICT4D literature should be used in the 'Design Rationale' section to justify every technical choice that departs from conventional enterprise software design. Why phone-OTP instead of email? Because informal workers have phones, not email addresses. Why star ratings with text, not complex skill matrices? Because employers are also often informally educated. Why mobile-first? Because informal workers access the internet primarily via smartphones. Each of these design choices is ICT4D-informed.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Heeks' framework is analytical, not prescriptive. Shramik-Profile provides the specific technical implementation of ICT4D principles for informal labour reputation systems.</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28 </w:t>
      </w:r>
      <w:r>
        <w:rPr>
          <w:rFonts w:ascii="Arial" w:cs="Arial" w:eastAsia="Arial" w:hAnsi="Arial"/>
          <w:color w:val="0D9488"/>
          <w:sz w:val="20"/>
          <w:szCs w:val="20"/>
        </w:rPr>
        <w:t xml:space="preserve">| DIGITAL EXCLUSION, GENDER, CASTE, INTERSECTIONALITY, INFORMAL WORKERS INDIA</w:t>
      </w:r>
    </w:p>
    <w:p>
      <w:pPr>
        <w:spacing w:before="40" w:after="60"/>
      </w:pPr>
      <w:r>
        <w:rPr>
          <w:rFonts w:ascii="Arial" w:cs="Arial" w:eastAsia="Arial" w:hAnsi="Arial"/>
          <w:b/>
          <w:bCs/>
          <w:i/>
          <w:iCs/>
          <w:color w:val="1A3557"/>
          <w:sz w:val="26"/>
          <w:szCs w:val="26"/>
        </w:rPr>
        <w:t xml:space="preserve">Gender, Caste, and Digital Exclusion: Intersectional Barriers to Informal Workers' Digital Participation in India</w:t>
      </w:r>
    </w:p>
    <w:p>
      <w:pPr>
        <w:spacing w:before="20" w:after="80"/>
      </w:pPr>
      <w:r>
        <w:rPr>
          <w:rFonts w:ascii="Arial" w:cs="Arial" w:eastAsia="Arial" w:hAnsi="Arial"/>
          <w:color w:val="64748B"/>
          <w:sz w:val="20"/>
          <w:szCs w:val="20"/>
        </w:rPr>
        <w:t xml:space="preserve">Multiple Authors (IT for Change / Gender at Work Network)  ·  IT for Change Working Paper / Gender &amp; Development Journal  ·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Multiple Authors (IT for Change / Gender at Work Network) (2022)</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IT for Change Working Paper / Gender &amp; Development Journal</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IT for Change Open Access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FREE (IT for Change open publications)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https://itforchange.net (search: gender caste digital exclusion India)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5, SDG 10, SDG 8</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Digital exclusion, gender, caste, intersectionality, informal workers India</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Ethics Section, Design Rationale, Mentor Pitch (Social Innovation Credentials)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Documents how gender and caste intersect to create compounded barriers to digital participation for informal workers in India. Shows that women and lower-caste workers face discrimination both in digital access and in platform rating systems, requiring active design interventions.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This paper adds the critical dimension of intersectionality to Shramik-Profile's design framework. It documents that women domestic workers and Dalit workers in India face a 'double exclusion': they are first excluded from digital platforms by lower device access and literacy, and second, when they do participate, they receive systematically lower ratings due to employer bias. For Shramik-Profile, this means that a 'neutral' rating system is not actually neutral — it will replicate and amplify existing social biases unless explicitly designed to counteract them. The paper recommends: (1) gender-disaggregated data collection; (2) mandatory employer rating on multiple dimensions (not just overall score) to reduce holistic bias; (3) anonymized worker-matching options for initial connection (to prevent pre-selection based on caste/religion signals from names).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Forces Shramik-Profile to confront its own potential for harm. A system that provides digital dignity to informal workers could simultaneously create a new digital caste system if rating biases are not actively mitigated. Specific design responses: anonymized initial matching (employer sees worker's skills and ratings, not name/photo, until they choose to contact); rating analysis dashboard for admins showing demographic disparities in scores; worker training materials in regional languages to enable informed participation. Citing this paper demonstrates that Shramik-Profile has thought deeply about equity, not just efficiency.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The paper identifies the problem but does not design a technical solution — exactly what Shramik-Profile's equity-aware design attempts.</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29 </w:t>
      </w:r>
      <w:r>
        <w:rPr>
          <w:rFonts w:ascii="Arial" w:cs="Arial" w:eastAsia="Arial" w:hAnsi="Arial"/>
          <w:color w:val="0D9488"/>
          <w:sz w:val="20"/>
          <w:szCs w:val="20"/>
        </w:rPr>
        <w:t xml:space="preserve">| FINANCIAL INCLUSION, DIGITAL IDENTITY, CREDIT ACCESS, MOBILE BANKING, INFORMAL WORKERS</w:t>
      </w:r>
    </w:p>
    <w:p>
      <w:pPr>
        <w:spacing w:before="40" w:after="60"/>
      </w:pPr>
      <w:r>
        <w:rPr>
          <w:rFonts w:ascii="Arial" w:cs="Arial" w:eastAsia="Arial" w:hAnsi="Arial"/>
          <w:b/>
          <w:bCs/>
          <w:i/>
          <w:iCs/>
          <w:color w:val="1A3557"/>
          <w:sz w:val="26"/>
          <w:szCs w:val="26"/>
        </w:rPr>
        <w:t xml:space="preserve">Financial Inclusion Through Digital Identity: Mobile Banking and Credit Access for Informal Workers</w:t>
      </w:r>
    </w:p>
    <w:p>
      <w:pPr>
        <w:spacing w:before="20" w:after="80"/>
      </w:pPr>
      <w:r>
        <w:rPr>
          <w:rFonts w:ascii="Arial" w:cs="Arial" w:eastAsia="Arial" w:hAnsi="Arial"/>
          <w:color w:val="64748B"/>
          <w:sz w:val="20"/>
          <w:szCs w:val="20"/>
        </w:rPr>
        <w:t xml:space="preserve">Dupas, P. &amp; Robinson, J. (Stanford / NBER)  ·  American Economic Review / NBER Working Papers  ·  2013-2023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Dupas, P. &amp; Robinson, J. (Stanford / NBER) (2013-2023)</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American Economic Review / NBER Working Papers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NBER Working Papers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NBER (many working papers free)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https://www.nber.org/search?q=financial+inclusion+informal+workers+digital+identity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1, SDG 8, SDG 10</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Financial inclusion, digital identity, credit access, mobile banking, informal workers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Societal Impact, Mentor Pitch, Future Roadmap, SDG Alignment (SDG 1)</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Series of studies showing that informal workers with verifiable digital identities gain access to mobile banking, microcredit, and formal financial services. Documents a causal link between digital identity and economic mobility for the informal sector.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This line of research from Stanford/NBER shows that Shramik-Profile's impact extends beyond work reputation into financial inclusion. Informal workers without documented work history cannot access bank loans, insurance, or government welfare schemes. However, when workers have a verifiable digital work record — even a simple history of rated jobs on a platform — banks and microfinance institutions are significantly more willing to extend credit. This is the multiplier effect of Shramik-Profile: it creates not just a work profile but the foundation for financial identity. A domestic worker with 50 verified 5-star ratings on Shramik-Profile has a proven income history that a cooperative bank can use as a credit proxy.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Extends Shramik-Profile's value proposition beyond job-matching into financial inclusion — a powerful argument for its SDG 1 (No Poverty) alignment in addition to SDG 8. The mentor pitch should include: 'A worker's Shramik-Profile verified rating history becomes their financial passport — the first step toward accessing credit, insurance, and formal economic participation.' This transforms Shramik-Profile from a job-matching app into critical financial infrastructure.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The financial inclusion literature focuses on mobile money systems (M-Pesa, Paytm) rather than labour reputation systems. Shramik-Profile's link to financial access is currently indirect — the explicit integration with financial services is a future roadmap item.</w:t>
      </w:r>
    </w:p>
    <w:p>
      <w:pPr>
        <w:pBdr>
          <w:bottom w:val="single" w:color="D1D5DB" w:sz="4" w:space="1"/>
        </w:pBdr>
        <w:spacing w:before="60" w:after="60"/>
      </w:pPr>
    </w:p>
    <w:p>
      <w:pPr>
        <w:spacing w:before="60"/>
      </w:pPr>
    </w:p>
    <w:p>
      <w:pPr>
        <w:spacing w:before="160" w:after="60"/>
      </w:pPr>
      <w:r>
        <w:rPr>
          <w:rFonts w:ascii="Arial" w:cs="Arial" w:eastAsia="Arial" w:hAnsi="Arial"/>
          <w:b/>
          <w:bCs/>
          <w:color w:val="2563EB"/>
          <w:sz w:val="28"/>
          <w:szCs w:val="28"/>
        </w:rPr>
        <w:t xml:space="preserve">PAPER 30 </w:t>
      </w:r>
      <w:r>
        <w:rPr>
          <w:rFonts w:ascii="Arial" w:cs="Arial" w:eastAsia="Arial" w:hAnsi="Arial"/>
          <w:color w:val="0D9488"/>
          <w:sz w:val="20"/>
          <w:szCs w:val="20"/>
        </w:rPr>
        <w:t xml:space="preserve">| GIG ECONOMY TRENDS, BIBLIOMETRIC ANALYSIS, WORKER WELL-BEING, TECHNOLOGY IMPACT</w:t>
      </w:r>
    </w:p>
    <w:p>
      <w:pPr>
        <w:spacing w:before="40" w:after="60"/>
      </w:pPr>
      <w:r>
        <w:rPr>
          <w:rFonts w:ascii="Arial" w:cs="Arial" w:eastAsia="Arial" w:hAnsi="Arial"/>
          <w:b/>
          <w:bCs/>
          <w:i/>
          <w:iCs/>
          <w:color w:val="1A3557"/>
          <w:sz w:val="26"/>
          <w:szCs w:val="26"/>
        </w:rPr>
        <w:t xml:space="preserve">Transformative Dynamics of the Gig Economy: Technological Impacts, Worker Well-Being and Global Research Trends</w:t>
      </w:r>
    </w:p>
    <w:p>
      <w:pPr>
        <w:spacing w:before="20" w:after="80"/>
      </w:pPr>
      <w:r>
        <w:rPr>
          <w:rFonts w:ascii="Arial" w:cs="Arial" w:eastAsia="Arial" w:hAnsi="Arial"/>
          <w:color w:val="64748B"/>
          <w:sz w:val="20"/>
          <w:szCs w:val="20"/>
        </w:rPr>
        <w:t xml:space="preserve">Srihita, R.H., Goli, G., Rajyalaxmi, M. &amp; Gobinath, R.  ·  SAGE Open / International Journal of Social Science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Authors &amp; Year</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Srihita, R.H., Goli, G., Rajyalaxmi, M. &amp; Gobinath, R. (2025)</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Publication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SAGE Open / International Journal of Social Science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DOI / Index</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10.1177/18479790241310362</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Access</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 SAGE Journals (check ResearchGate for author pre-print)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Download</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https://journals.sagepub.com/doi/10.1177/18479790241310362</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SDG Alignment</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SDG 8, SDG 3</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1A3557"/>
                <w:sz w:val="22"/>
                <w:szCs w:val="22"/>
              </w:rPr>
              <w:t xml:space="preserve">Theme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Gig economy trends, bibliometric analysis, worker well-being, technology impact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3557"/>
                <w:sz w:val="22"/>
                <w:szCs w:val="22"/>
              </w:rPr>
              <w:t xml:space="preserve">Cite In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Literature Review Introduction, Meta-Analysis, Mentor Pitch (Academic Validation)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ABSTRACT &amp; OVERVIEW</w:t>
            </w:r>
          </w:p>
        </w:tc>
      </w:tr>
    </w:tbl>
    <w:p>
      <w:pPr>
        <w:spacing w:before="80" w:after="60"/>
      </w:pPr>
    </w:p>
    <w:p>
      <w:pPr>
        <w:spacing w:before="60" w:after="100"/>
        <w:jc w:val="both"/>
      </w:pPr>
      <w:r>
        <w:rPr>
          <w:rFonts w:ascii="Arial" w:cs="Arial" w:eastAsia="Arial" w:hAnsi="Arial"/>
          <w:sz w:val="22"/>
          <w:szCs w:val="22"/>
        </w:rPr>
        <w:t xml:space="preserve">Bibliometric analysis of 549 documents on the gig economy (2016-2024). Identifies research clusters around data security, wage protection, and worker well-being as the dominant emerging themes. Documents citation trajectory showing exponential academic interest in gig work conditions.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00"/>
              <w:left w:type="dxa" w:w="160"/>
              <w:bottom w:type="dxa" w:w="100"/>
              <w:right w:type="dxa" w:w="160"/>
            </w:tcMar>
          </w:tcPr>
          <w:p>
            <w:r>
              <w:rPr>
                <w:rFonts w:ascii="Arial" w:cs="Arial" w:eastAsia="Arial" w:hAnsi="Arial"/>
                <w:b/>
                <w:bCs/>
                <w:color w:val="FFFFFF"/>
                <w:sz w:val="22"/>
                <w:szCs w:val="22"/>
              </w:rPr>
              <w:t xml:space="preserve">DETAILED LITERATURE REVIEW ANALYSIS</w:t>
            </w:r>
          </w:p>
        </w:tc>
      </w:tr>
    </w:tbl>
    <w:p>
      <w:pPr>
        <w:spacing w:before="80" w:after="60"/>
      </w:pPr>
    </w:p>
    <w:p>
      <w:pPr>
        <w:spacing w:before="60" w:after="100"/>
        <w:jc w:val="both"/>
      </w:pPr>
      <w:r>
        <w:rPr>
          <w:rFonts w:ascii="Arial" w:cs="Arial" w:eastAsia="Arial" w:hAnsi="Arial"/>
          <w:sz w:val="22"/>
          <w:szCs w:val="22"/>
        </w:rPr>
        <w:t xml:space="preserve">This bibliometric analysis provides a meta-view of the entire gig economy research field, making it an ideal source for Shramik-Profile's literature review introduction. The citation trajectory data (from 3 citations in 2016 to over 1,134 in 2020) demonstrates that gig economy research is one of the fastest-growing areas of academic inquiry — validating the scholarly significance of Shramik-Profile's research domain. The paper identifies 'data security, wage protection, and worker well-being' as the three dominant emerging themes — each directly addressed by Shramik-Profile: data security (secure auth and database design), wage protection (verified ratings enabling fair pay negotiation), and worker well-being (professional dignity through digital recognition).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r>
              <w:rPr>
                <w:rFonts w:ascii="Arial" w:cs="Arial" w:eastAsia="Arial" w:hAnsi="Arial"/>
                <w:b/>
                <w:bCs/>
                <w:color w:val="FFFFFF"/>
                <w:sz w:val="22"/>
                <w:szCs w:val="22"/>
              </w:rPr>
              <w:t xml:space="preserve">CRITICAL ANALYSIS &amp; RELEVANCE TO SHRAMIK-PROFILE</w:t>
            </w:r>
          </w:p>
        </w:tc>
      </w:tr>
    </w:tbl>
    <w:p>
      <w:pPr>
        <w:spacing w:before="80" w:after="60"/>
      </w:pPr>
    </w:p>
    <w:p>
      <w:pPr>
        <w:spacing w:before="60" w:after="100"/>
        <w:jc w:val="both"/>
      </w:pPr>
      <w:r>
        <w:rPr>
          <w:rFonts w:ascii="Arial" w:cs="Arial" w:eastAsia="Arial" w:hAnsi="Arial"/>
          <w:sz w:val="22"/>
          <w:szCs w:val="22"/>
        </w:rPr>
        <w:t xml:space="preserve">Provides the literature landscape map that situates Shramik-Profile within the broader academic conversation. The bibliometric finding that research interest is still growing (polynomial trend with R²=0.9981) means the field will continue producing relevant papers throughout Shramik-Profile's 9-week development timeline. Use this paper in the introduction of the literature review to establish that 'the research domain Shramik-Profile operates in is among the most active in current computational social science.' The exponential citation growth also signals to mentors that this project area has high academic and practical relevance.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RESEARCH GAP ADDRESSED BY SHRAMIK-PROFILE</w:t>
            </w:r>
          </w:p>
        </w:tc>
      </w:tr>
    </w:tbl>
    <w:p>
      <w:pPr>
        <w:spacing w:before="80" w:after="60"/>
      </w:pPr>
    </w:p>
    <w:p>
      <w:pPr>
        <w:spacing w:before="60" w:after="100"/>
        <w:jc w:val="both"/>
      </w:pPr>
      <w:r>
        <w:rPr>
          <w:rFonts w:ascii="Arial" w:cs="Arial" w:eastAsia="Arial" w:hAnsi="Arial"/>
          <w:sz w:val="22"/>
          <w:szCs w:val="22"/>
        </w:rPr>
        <w:t xml:space="preserve">Pure bibliometric analysis with no primary data on workers. However, the meta-analysis function — mapping the entire research landscape — is uniquely useful for structuring a comprehensive literature review.</w:t>
      </w:r>
    </w:p>
    <w:p>
      <w:pPr>
        <w:pBdr>
          <w:bottom w:val="single" w:color="D1D5DB" w:sz="4" w:space="1"/>
        </w:pBdr>
        <w:spacing w:before="60" w:after="60"/>
      </w:pPr>
    </w:p>
    <w:p>
      <w:pPr>
        <w:spacing w:before="60"/>
      </w:pPr>
    </w:p>
    <w:p>
      <w:r>
        <w:br/>
        <w:t xml:space="preserve"/>
      </w:r>
    </w:p>
    <w:p>
      <w:pPr>
        <w:pStyle w:val="Heading1"/>
        <w:spacing w:before="280" w:after="120"/>
      </w:pPr>
      <w:r>
        <w:rPr>
          <w:rFonts w:ascii="Arial" w:cs="Arial" w:eastAsia="Arial" w:hAnsi="Arial"/>
          <w:b/>
          <w:bCs/>
          <w:color w:val="1A3557"/>
          <w:sz w:val="36"/>
          <w:szCs w:val="36"/>
        </w:rPr>
        <w:t xml:space="preserve">SUPPORTING MATERIAL FOR MENTOR PRESENTATION</w:t>
      </w:r>
    </w:p>
    <w:p>
      <w:pPr>
        <w:pBdr>
          <w:bottom w:val="single" w:color="16A34A" w:sz="4" w:space="1"/>
        </w:pBdr>
        <w:spacing w:before="60" w:after="60"/>
      </w:pPr>
    </w:p>
    <w:p>
      <w:pPr>
        <w:spacing w:before="100"/>
      </w:pPr>
    </w:p>
    <w:p>
      <w:pPr>
        <w:pStyle w:val="Heading2"/>
        <w:spacing w:before="280" w:after="120"/>
      </w:pPr>
      <w:r>
        <w:rPr>
          <w:rFonts w:ascii="Arial" w:cs="Arial" w:eastAsia="Arial" w:hAnsi="Arial"/>
          <w:b/>
          <w:bCs/>
          <w:color w:val="2563EB"/>
          <w:sz w:val="28"/>
          <w:szCs w:val="28"/>
        </w:rPr>
        <w:t xml:space="preserve">Key Statistics for Your Pitch (All Source-Cited)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2563EB" w:sz="1"/>
              <w:left w:val="single" w:color="2563EB" w:sz="1"/>
              <w:bottom w:val="single" w:color="2563EB" w:sz="1"/>
              <w:right w:val="single" w:color="2563EB"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3000"/>
            <w:tcBorders>
              <w:top w:val="single" w:color="2563EB" w:sz="1"/>
              <w:left w:val="single" w:color="2563EB" w:sz="1"/>
              <w:bottom w:val="single" w:color="2563EB" w:sz="1"/>
              <w:right w:val="single" w:color="2563EB"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60"/>
            <w:tcBorders>
              <w:top w:val="single" w:color="2563EB" w:sz="1"/>
              <w:left w:val="single" w:color="2563EB" w:sz="1"/>
              <w:bottom w:val="single" w:color="2563EB" w:sz="1"/>
              <w:right w:val="single" w:color="2563EB" w:sz="1"/>
            </w:tcBorders>
            <w:shd w:fill="1A3557" w:val="clear"/>
            <w:tcMar>
              <w:top w:type="dxa" w:w="80"/>
              <w:left w:type="dxa" w:w="120"/>
              <w:bottom w:type="dxa" w:w="80"/>
              <w:right w:type="dxa" w:w="120"/>
            </w:tcMar>
          </w:tcPr>
          <w:p>
            <w:r>
              <w:rPr>
                <w:rFonts w:ascii="Arial" w:cs="Arial" w:eastAsia="Arial" w:hAnsi="Arial"/>
                <w:b/>
                <w:bCs/>
                <w:color w:val="FFFFFF"/>
                <w:sz w:val="20"/>
                <w:szCs w:val="20"/>
              </w:rPr>
              <w:t xml:space="preserve">Source Paper</w:t>
            </w:r>
          </w:p>
        </w:tc>
      </w:tr>
      <w:tr>
        <w:tc>
          <w:tcPr>
            <w:tcW w:type="dxa" w:w="3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i w:val="false"/>
                <w:iCs w:val="false"/>
                <w:color w:val="334155"/>
                <w:sz w:val="20"/>
                <w:szCs w:val="20"/>
              </w:rPr>
              <w:t xml:space="preserve">India's Informal Workforce %</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i w:val="false"/>
                <w:iCs w:val="false"/>
                <w:color w:val="334155"/>
                <w:sz w:val="20"/>
                <w:szCs w:val="20"/>
              </w:rPr>
              <w:t xml:space="preserve">85.8% – 90%+ of total workforce</w:t>
            </w:r>
          </w:p>
        </w:tc>
        <w:tc>
          <w:tcPr>
            <w:tcW w:type="dxa" w:w="28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Paper 2 (Papola &amp; Sahu, 2012)</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i w:val="false"/>
                <w:iCs w:val="false"/>
                <w:color w:val="334155"/>
                <w:sz w:val="20"/>
                <w:szCs w:val="20"/>
              </w:rPr>
              <w:t xml:space="preserve">Total Informal Workers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4155"/>
                <w:sz w:val="20"/>
                <w:szCs w:val="20"/>
              </w:rPr>
              <w:t xml:space="preserve">400–500 million workers</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Paper 4 (NITI Aayog, 2022)</w:t>
            </w:r>
          </w:p>
        </w:tc>
      </w:tr>
      <w:tr>
        <w:tc>
          <w:tcPr>
            <w:tcW w:type="dxa" w:w="3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i w:val="false"/>
                <w:iCs w:val="false"/>
                <w:color w:val="334155"/>
                <w:sz w:val="20"/>
                <w:szCs w:val="20"/>
              </w:rPr>
              <w:t xml:space="preserve">Gig Workers in 2021</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i w:val="false"/>
                <w:iCs w:val="false"/>
                <w:color w:val="334155"/>
                <w:sz w:val="20"/>
                <w:szCs w:val="20"/>
              </w:rPr>
              <w:t xml:space="preserve">7.7 million (digital gig)</w:t>
            </w:r>
          </w:p>
        </w:tc>
        <w:tc>
          <w:tcPr>
            <w:tcW w:type="dxa" w:w="28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Paper 4 (NITI Aayog, 2022)</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i w:val="false"/>
                <w:iCs w:val="false"/>
                <w:color w:val="334155"/>
                <w:sz w:val="20"/>
                <w:szCs w:val="20"/>
              </w:rPr>
              <w:t xml:space="preserve">Projected Gig Workers 2029</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4155"/>
                <w:sz w:val="20"/>
                <w:szCs w:val="20"/>
              </w:rPr>
              <w:t xml:space="preserve">23.5 million</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Paper 4 (NITI Aayog, 2022)</w:t>
            </w:r>
          </w:p>
        </w:tc>
      </w:tr>
      <w:tr>
        <w:tc>
          <w:tcPr>
            <w:tcW w:type="dxa" w:w="3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i w:val="false"/>
                <w:iCs w:val="false"/>
                <w:color w:val="334155"/>
                <w:sz w:val="20"/>
                <w:szCs w:val="20"/>
              </w:rPr>
              <w:t xml:space="preserve">E-Shram Registrations</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i w:val="false"/>
                <w:iCs w:val="false"/>
                <w:color w:val="334155"/>
                <w:sz w:val="20"/>
                <w:szCs w:val="20"/>
              </w:rPr>
              <w:t xml:space="preserve">300+ million (no rating system)</w:t>
            </w:r>
          </w:p>
        </w:tc>
        <w:tc>
          <w:tcPr>
            <w:tcW w:type="dxa" w:w="28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Paper 10 (GOI E-Shram Analysis)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i w:val="false"/>
                <w:iCs w:val="false"/>
                <w:color w:val="334155"/>
                <w:sz w:val="20"/>
                <w:szCs w:val="20"/>
              </w:rPr>
              <w:t xml:space="preserve">Workers w/o Digital Records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4155"/>
                <w:sz w:val="20"/>
                <w:szCs w:val="20"/>
              </w:rPr>
              <w:t xml:space="preserve">~90% of India's workforce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Paper 1 (Agarwala, 2008)</w:t>
            </w:r>
          </w:p>
        </w:tc>
      </w:tr>
      <w:tr>
        <w:tc>
          <w:tcPr>
            <w:tcW w:type="dxa" w:w="3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i w:val="false"/>
                <w:iCs w:val="false"/>
                <w:color w:val="334155"/>
                <w:sz w:val="20"/>
                <w:szCs w:val="20"/>
              </w:rPr>
              <w:t xml:space="preserve">Gig Economy India % GDP</w:t>
            </w:r>
          </w:p>
        </w:tc>
        <w:tc>
          <w:tcPr>
            <w:tcW w:type="dxa" w:w="30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i w:val="false"/>
                <w:iCs w:val="false"/>
                <w:color w:val="334155"/>
                <w:sz w:val="20"/>
                <w:szCs w:val="20"/>
              </w:rPr>
              <w:t xml:space="preserve">~1.25% potential GDP addition</w:t>
            </w:r>
          </w:p>
        </w:tc>
        <w:tc>
          <w:tcPr>
            <w:tcW w:type="dxa" w:w="28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Paper 20 (IJFMR, 2025)</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i w:val="false"/>
                <w:iCs w:val="false"/>
                <w:color w:val="334155"/>
                <w:sz w:val="20"/>
                <w:szCs w:val="20"/>
              </w:rPr>
              <w:t xml:space="preserve">Academic Research Growth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4155"/>
                <w:sz w:val="20"/>
                <w:szCs w:val="20"/>
              </w:rPr>
              <w:t xml:space="preserve">3 citations (2016) → 1134 (2020)</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Paper 30 (Srihita et al., 2025)</w:t>
            </w:r>
          </w:p>
        </w:tc>
      </w:tr>
    </w:tbl>
    <w:p>
      <w:pPr>
        <w:spacing w:before="200"/>
      </w:pPr>
    </w:p>
    <w:p>
      <w:pPr>
        <w:pStyle w:val="Heading2"/>
        <w:spacing w:before="280" w:after="120"/>
      </w:pPr>
      <w:r>
        <w:rPr>
          <w:rFonts w:ascii="Arial" w:cs="Arial" w:eastAsia="Arial" w:hAnsi="Arial"/>
          <w:b/>
          <w:bCs/>
          <w:color w:val="2563EB"/>
          <w:sz w:val="28"/>
          <w:szCs w:val="28"/>
        </w:rPr>
        <w:t xml:space="preserve">SDG 8 Alignment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6A34A" w:sz="1"/>
              <w:left w:val="single" w:color="16A34A" w:sz="1"/>
              <w:bottom w:val="single" w:color="16A34A" w:sz="1"/>
              <w:right w:val="single" w:color="16A34A" w:sz="1"/>
            </w:tcBorders>
            <w:shd w:fill="16A34A" w:val="clear"/>
            <w:tcMar>
              <w:top w:type="dxa" w:w="80"/>
              <w:left w:type="dxa" w:w="100"/>
              <w:bottom w:type="dxa" w:w="80"/>
              <w:right w:type="dxa" w:w="100"/>
            </w:tcMar>
          </w:tcPr>
          <w:p>
            <w:r>
              <w:rPr>
                <w:rFonts w:ascii="Arial" w:cs="Arial" w:eastAsia="Arial" w:hAnsi="Arial"/>
                <w:b/>
                <w:bCs/>
                <w:color w:val="FFFFFF"/>
                <w:sz w:val="18"/>
                <w:szCs w:val="18"/>
              </w:rPr>
              <w:t xml:space="preserve">SDG 8 Indicator</w:t>
            </w:r>
          </w:p>
        </w:tc>
        <w:tc>
          <w:tcPr>
            <w:tcW w:type="dxa" w:w="3480"/>
            <w:tcBorders>
              <w:top w:val="single" w:color="16A34A" w:sz="1"/>
              <w:left w:val="single" w:color="16A34A" w:sz="1"/>
              <w:bottom w:val="single" w:color="16A34A" w:sz="1"/>
              <w:right w:val="single" w:color="16A34A" w:sz="1"/>
            </w:tcBorders>
            <w:shd w:fill="16A34A" w:val="clear"/>
            <w:tcMar>
              <w:top w:type="dxa" w:w="80"/>
              <w:left w:type="dxa" w:w="100"/>
              <w:bottom w:type="dxa" w:w="80"/>
              <w:right w:type="dxa" w:w="100"/>
            </w:tcMar>
          </w:tcPr>
          <w:p>
            <w:r>
              <w:rPr>
                <w:rFonts w:ascii="Arial" w:cs="Arial" w:eastAsia="Arial" w:hAnsi="Arial"/>
                <w:b/>
                <w:bCs/>
                <w:color w:val="FFFFFF"/>
                <w:sz w:val="18"/>
                <w:szCs w:val="18"/>
              </w:rPr>
              <w:t xml:space="preserve">What SDG 8 Calls For</w:t>
            </w:r>
          </w:p>
        </w:tc>
        <w:tc>
          <w:tcPr>
            <w:tcW w:type="dxa" w:w="3480"/>
            <w:tcBorders>
              <w:top w:val="single" w:color="16A34A" w:sz="1"/>
              <w:left w:val="single" w:color="16A34A" w:sz="1"/>
              <w:bottom w:val="single" w:color="16A34A" w:sz="1"/>
              <w:right w:val="single" w:color="16A34A" w:sz="1"/>
            </w:tcBorders>
            <w:shd w:fill="16A34A" w:val="clear"/>
            <w:tcMar>
              <w:top w:type="dxa" w:w="80"/>
              <w:left w:type="dxa" w:w="100"/>
              <w:bottom w:type="dxa" w:w="80"/>
              <w:right w:type="dxa" w:w="100"/>
            </w:tcMar>
          </w:tcPr>
          <w:p>
            <w:r>
              <w:rPr>
                <w:rFonts w:ascii="Arial" w:cs="Arial" w:eastAsia="Arial" w:hAnsi="Arial"/>
                <w:b/>
                <w:bCs/>
                <w:color w:val="FFFFFF"/>
                <w:sz w:val="18"/>
                <w:szCs w:val="18"/>
              </w:rPr>
              <w:t xml:space="preserve">How Shramik-Profile Delivers</w:t>
            </w:r>
          </w:p>
        </w:tc>
      </w:tr>
      <w:tr>
        <w:tc>
          <w:tcPr>
            <w:tcW w:type="dxa" w:w="24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tcPr>
          <w:p>
            <w:r>
              <w:rPr>
                <w:rFonts w:ascii="Arial" w:cs="Arial" w:eastAsia="Arial" w:hAnsi="Arial"/>
                <w:b/>
                <w:bCs/>
                <w:color w:val="16A34A"/>
                <w:sz w:val="18"/>
                <w:szCs w:val="18"/>
              </w:rPr>
              <w:t xml:space="preserve">SDG 8.3</w:t>
            </w:r>
          </w:p>
        </w:tc>
        <w:tc>
          <w:tcPr>
            <w:tcW w:type="dxa" w:w="348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tcPr>
          <w:p>
            <w:r>
              <w:rPr>
                <w:rFonts w:ascii="Arial" w:cs="Arial" w:eastAsia="Arial" w:hAnsi="Arial"/>
                <w:b w:val="false"/>
                <w:bCs w:val="false"/>
                <w:color w:val="334155"/>
                <w:sz w:val="18"/>
                <w:szCs w:val="18"/>
              </w:rPr>
              <w:t xml:space="preserve">Promote decent work, including for informal workers</w:t>
            </w:r>
          </w:p>
        </w:tc>
        <w:tc>
          <w:tcPr>
            <w:tcW w:type="dxa" w:w="348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tcPr>
          <w:p>
            <w:r>
              <w:rPr>
                <w:rFonts w:ascii="Arial" w:cs="Arial" w:eastAsia="Arial" w:hAnsi="Arial"/>
                <w:b w:val="false"/>
                <w:bCs w:val="false"/>
                <w:color w:val="334155"/>
                <w:sz w:val="18"/>
                <w:szCs w:val="18"/>
              </w:rPr>
              <w:t xml:space="preserve">Digital profile creation for informal workers — documenting their work for the first time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16A34A"/>
                <w:sz w:val="18"/>
                <w:szCs w:val="18"/>
              </w:rPr>
              <w:t xml:space="preserve">SDG 8.5</w:t>
            </w:r>
          </w:p>
        </w:tc>
        <w:tc>
          <w:tcPr>
            <w:tcW w:type="dxa" w:w="3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34155"/>
                <w:sz w:val="18"/>
                <w:szCs w:val="18"/>
              </w:rPr>
              <w:t xml:space="preserve">Full employment with equal pay for equal work</w:t>
            </w:r>
          </w:p>
        </w:tc>
        <w:tc>
          <w:tcPr>
            <w:tcW w:type="dxa" w:w="3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34155"/>
                <w:sz w:val="18"/>
                <w:szCs w:val="18"/>
              </w:rPr>
              <w:t xml:space="preserve">Verified ratings expose skill level, enabling workers to negotiate pay based on documented track record</w:t>
            </w:r>
          </w:p>
        </w:tc>
      </w:tr>
      <w:tr>
        <w:tc>
          <w:tcPr>
            <w:tcW w:type="dxa" w:w="24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tcPr>
          <w:p>
            <w:r>
              <w:rPr>
                <w:rFonts w:ascii="Arial" w:cs="Arial" w:eastAsia="Arial" w:hAnsi="Arial"/>
                <w:b/>
                <w:bCs/>
                <w:color w:val="16A34A"/>
                <w:sz w:val="18"/>
                <w:szCs w:val="18"/>
              </w:rPr>
              <w:t xml:space="preserve">SDG 8.6</w:t>
            </w:r>
          </w:p>
        </w:tc>
        <w:tc>
          <w:tcPr>
            <w:tcW w:type="dxa" w:w="348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tcPr>
          <w:p>
            <w:r>
              <w:rPr>
                <w:rFonts w:ascii="Arial" w:cs="Arial" w:eastAsia="Arial" w:hAnsi="Arial"/>
                <w:b w:val="false"/>
                <w:bCs w:val="false"/>
                <w:color w:val="334155"/>
                <w:sz w:val="18"/>
                <w:szCs w:val="18"/>
              </w:rPr>
              <w:t xml:space="preserve">Reduce proportion of youth not in employment</w:t>
            </w:r>
          </w:p>
        </w:tc>
        <w:tc>
          <w:tcPr>
            <w:tcW w:type="dxa" w:w="348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tcPr>
          <w:p>
            <w:r>
              <w:rPr>
                <w:rFonts w:ascii="Arial" w:cs="Arial" w:eastAsia="Arial" w:hAnsi="Arial"/>
                <w:b w:val="false"/>
                <w:bCs w:val="false"/>
                <w:color w:val="334155"/>
                <w:sz w:val="18"/>
                <w:szCs w:val="18"/>
              </w:rPr>
              <w:t xml:space="preserve">Easy-to-create profiles lower entry barriers for young informal workers entering the labour market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16A34A"/>
                <w:sz w:val="18"/>
                <w:szCs w:val="18"/>
              </w:rPr>
              <w:t xml:space="preserve">SDG 8.8</w:t>
            </w:r>
          </w:p>
        </w:tc>
        <w:tc>
          <w:tcPr>
            <w:tcW w:type="dxa" w:w="3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34155"/>
                <w:sz w:val="18"/>
                <w:szCs w:val="18"/>
              </w:rPr>
              <w:t xml:space="preserve">Protect labour rights and safe working environments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34155"/>
                <w:sz w:val="18"/>
                <w:szCs w:val="18"/>
              </w:rPr>
              <w:t xml:space="preserve">Worker-owned portable profiles prevent employer exploitation through information transparency</w:t>
            </w:r>
          </w:p>
        </w:tc>
      </w:tr>
      <w:tr>
        <w:tc>
          <w:tcPr>
            <w:tcW w:type="dxa" w:w="240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tcPr>
          <w:p>
            <w:r>
              <w:rPr>
                <w:rFonts w:ascii="Arial" w:cs="Arial" w:eastAsia="Arial" w:hAnsi="Arial"/>
                <w:b/>
                <w:bCs/>
                <w:color w:val="16A34A"/>
                <w:sz w:val="18"/>
                <w:szCs w:val="18"/>
              </w:rPr>
              <w:t xml:space="preserve">SDG 8.10</w:t>
            </w:r>
          </w:p>
        </w:tc>
        <w:tc>
          <w:tcPr>
            <w:tcW w:type="dxa" w:w="348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tcPr>
          <w:p>
            <w:r>
              <w:rPr>
                <w:rFonts w:ascii="Arial" w:cs="Arial" w:eastAsia="Arial" w:hAnsi="Arial"/>
                <w:b w:val="false"/>
                <w:bCs w:val="false"/>
                <w:color w:val="334155"/>
                <w:sz w:val="18"/>
                <w:szCs w:val="18"/>
              </w:rPr>
              <w:t xml:space="preserve">Expand financial services access</w:t>
            </w:r>
          </w:p>
        </w:tc>
        <w:tc>
          <w:tcPr>
            <w:tcW w:type="dxa" w:w="3480"/>
            <w:tcBorders>
              <w:top w:val="single" w:color="D1D5DB" w:sz="1"/>
              <w:left w:val="single" w:color="D1D5DB" w:sz="1"/>
              <w:bottom w:val="single" w:color="D1D5DB" w:sz="1"/>
              <w:right w:val="single" w:color="D1D5DB" w:sz="1"/>
            </w:tcBorders>
            <w:shd w:fill="DCFCE7" w:val="clear"/>
            <w:tcMar>
              <w:top w:type="dxa" w:w="80"/>
              <w:left w:type="dxa" w:w="100"/>
              <w:bottom w:type="dxa" w:w="80"/>
              <w:right w:type="dxa" w:w="100"/>
            </w:tcMar>
          </w:tcPr>
          <w:p>
            <w:r>
              <w:rPr>
                <w:rFonts w:ascii="Arial" w:cs="Arial" w:eastAsia="Arial" w:hAnsi="Arial"/>
                <w:b w:val="false"/>
                <w:bCs w:val="false"/>
                <w:color w:val="334155"/>
                <w:sz w:val="18"/>
                <w:szCs w:val="18"/>
              </w:rPr>
              <w:t xml:space="preserve">Verified work history enables access to microcredit and financial inclusion (Paper 29 linkage)</w:t>
            </w:r>
          </w:p>
        </w:tc>
      </w:tr>
    </w:tbl>
    <w:p>
      <w:pPr>
        <w:spacing w:before="200"/>
      </w:pPr>
    </w:p>
    <w:p>
      <w:pPr>
        <w:pStyle w:val="Heading2"/>
        <w:spacing w:before="280" w:after="120"/>
      </w:pPr>
      <w:r>
        <w:rPr>
          <w:rFonts w:ascii="Arial" w:cs="Arial" w:eastAsia="Arial" w:hAnsi="Arial"/>
          <w:b/>
          <w:bCs/>
          <w:color w:val="2563EB"/>
          <w:sz w:val="28"/>
          <w:szCs w:val="28"/>
        </w:rPr>
        <w:t xml:space="preserve">How Shramik-Profile Differs from Existing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8"/>
      </w:tblGrid>
      <w:tr>
        <w:trPr>
          <w:tblHeader/>
        </w:trPr>
        <w:tc>
          <w:tcPr>
            <w:tcW w:type="dxa" w:w="2200"/>
            <w:tcBorders>
              <w:top w:val="single" w:color="2563EB" w:sz="1"/>
              <w:left w:val="single" w:color="2563EB" w:sz="1"/>
              <w:bottom w:val="single" w:color="2563EB" w:sz="1"/>
              <w:right w:val="single" w:color="2563EB" w:sz="1"/>
            </w:tcBorders>
            <w:shd w:fill="1A3557"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2386"/>
            <w:tcBorders>
              <w:top w:val="single" w:color="2563EB" w:sz="1"/>
              <w:left w:val="single" w:color="2563EB" w:sz="1"/>
              <w:bottom w:val="single" w:color="2563EB" w:sz="1"/>
              <w:right w:val="single" w:color="2563EB" w:sz="1"/>
            </w:tcBorders>
            <w:shd w:fill="1A3557" w:val="clear"/>
            <w:tcMar>
              <w:top w:type="dxa" w:w="80"/>
              <w:left w:type="dxa" w:w="100"/>
              <w:bottom w:type="dxa" w:w="80"/>
              <w:right w:type="dxa" w:w="100"/>
            </w:tcMar>
          </w:tcPr>
          <w:p>
            <w:r>
              <w:rPr>
                <w:rFonts w:ascii="Arial" w:cs="Arial" w:eastAsia="Arial" w:hAnsi="Arial"/>
                <w:b/>
                <w:bCs/>
                <w:color w:val="FFFFFF"/>
                <w:sz w:val="18"/>
                <w:szCs w:val="18"/>
              </w:rPr>
              <w:t xml:space="preserve">E-Shram (GOI)</w:t>
            </w:r>
          </w:p>
        </w:tc>
        <w:tc>
          <w:tcPr>
            <w:tcW w:type="dxa" w:w="2386"/>
            <w:tcBorders>
              <w:top w:val="single" w:color="2563EB" w:sz="1"/>
              <w:left w:val="single" w:color="2563EB" w:sz="1"/>
              <w:bottom w:val="single" w:color="2563EB" w:sz="1"/>
              <w:right w:val="single" w:color="2563EB" w:sz="1"/>
            </w:tcBorders>
            <w:shd w:fill="1A3557" w:val="clear"/>
            <w:tcMar>
              <w:top w:type="dxa" w:w="80"/>
              <w:left w:type="dxa" w:w="100"/>
              <w:bottom w:type="dxa" w:w="80"/>
              <w:right w:type="dxa" w:w="100"/>
            </w:tcMar>
          </w:tcPr>
          <w:p>
            <w:r>
              <w:rPr>
                <w:rFonts w:ascii="Arial" w:cs="Arial" w:eastAsia="Arial" w:hAnsi="Arial"/>
                <w:b/>
                <w:bCs/>
                <w:color w:val="FFFFFF"/>
                <w:sz w:val="18"/>
                <w:szCs w:val="18"/>
              </w:rPr>
              <w:t xml:space="preserve">Urban Company</w:t>
            </w:r>
          </w:p>
        </w:tc>
        <w:tc>
          <w:tcPr>
            <w:tcW w:type="dxa" w:w="2388"/>
            <w:tcBorders>
              <w:top w:val="single" w:color="2563EB" w:sz="1"/>
              <w:left w:val="single" w:color="2563EB" w:sz="1"/>
              <w:bottom w:val="single" w:color="2563EB" w:sz="1"/>
              <w:right w:val="single" w:color="2563EB" w:sz="1"/>
            </w:tcBorders>
            <w:shd w:fill="1A3557" w:val="clear"/>
            <w:tcMar>
              <w:top w:type="dxa" w:w="80"/>
              <w:left w:type="dxa" w:w="100"/>
              <w:bottom w:type="dxa" w:w="80"/>
              <w:right w:type="dxa" w:w="100"/>
            </w:tcMar>
          </w:tcPr>
          <w:p>
            <w:r>
              <w:rPr>
                <w:rFonts w:ascii="Arial" w:cs="Arial" w:eastAsia="Arial" w:hAnsi="Arial"/>
                <w:b/>
                <w:bCs/>
                <w:color w:val="FFFFFF"/>
                <w:sz w:val="18"/>
                <w:szCs w:val="18"/>
              </w:rPr>
              <w:t xml:space="preserve">Shramik-Profile</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bCs/>
                <w:color w:val="334155"/>
                <w:sz w:val="18"/>
                <w:szCs w:val="18"/>
              </w:rPr>
              <w:t xml:space="preserve">Worker Digital Identity</w:t>
            </w:r>
          </w:p>
        </w:tc>
        <w:tc>
          <w:tcPr>
            <w:tcW w:type="dxa" w:w="2386"/>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val="false"/>
                <w:bCs w:val="false"/>
                <w:color w:val="16A34A"/>
                <w:sz w:val="18"/>
                <w:szCs w:val="18"/>
              </w:rPr>
              <w:t xml:space="preserve">✅ Yes</w:t>
            </w:r>
          </w:p>
        </w:tc>
        <w:tc>
          <w:tcPr>
            <w:tcW w:type="dxa" w:w="2386"/>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val="false"/>
                <w:bCs w:val="false"/>
                <w:color w:val="16A34A"/>
                <w:sz w:val="18"/>
                <w:szCs w:val="18"/>
              </w:rPr>
              <w:t xml:space="preserve">✅ Yes</w:t>
            </w:r>
          </w:p>
        </w:tc>
        <w:tc>
          <w:tcPr>
            <w:tcW w:type="dxa" w:w="2388"/>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val="false"/>
                <w:bCs w:val="false"/>
                <w:color w:val="16A34A"/>
                <w:sz w:val="18"/>
                <w:szCs w:val="18"/>
              </w:rPr>
              <w:t xml:space="preserve">✅ 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334155"/>
                <w:sz w:val="18"/>
                <w:szCs w:val="18"/>
              </w:rPr>
              <w:t xml:space="preserve">Verified Employer Ratings</w:t>
            </w:r>
          </w:p>
        </w:tc>
        <w:tc>
          <w:tcPr>
            <w:tcW w:type="dxa" w:w="2386"/>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DC2626"/>
                <w:sz w:val="18"/>
                <w:szCs w:val="18"/>
              </w:rPr>
              <w:t xml:space="preserve">❌ No</w:t>
            </w:r>
          </w:p>
        </w:tc>
        <w:tc>
          <w:tcPr>
            <w:tcW w:type="dxa" w:w="2386"/>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6A34A"/>
                <w:sz w:val="18"/>
                <w:szCs w:val="18"/>
              </w:rPr>
              <w:t xml:space="preserve">✅ Platform-locked</w:t>
            </w:r>
          </w:p>
        </w:tc>
        <w:tc>
          <w:tcPr>
            <w:tcW w:type="dxa" w:w="2388"/>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6A34A"/>
                <w:sz w:val="18"/>
                <w:szCs w:val="18"/>
              </w:rPr>
              <w:t xml:space="preserve">✅ Portable, cross-employer</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bCs/>
                <w:color w:val="334155"/>
                <w:sz w:val="18"/>
                <w:szCs w:val="18"/>
              </w:rPr>
              <w:t xml:space="preserve">Reputation Portability</w:t>
            </w:r>
          </w:p>
        </w:tc>
        <w:tc>
          <w:tcPr>
            <w:tcW w:type="dxa" w:w="2386"/>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val="false"/>
                <w:bCs w:val="false"/>
                <w:color w:val="DC2626"/>
                <w:sz w:val="18"/>
                <w:szCs w:val="18"/>
              </w:rPr>
              <w:t xml:space="preserve">❌ No</w:t>
            </w:r>
          </w:p>
        </w:tc>
        <w:tc>
          <w:tcPr>
            <w:tcW w:type="dxa" w:w="2386"/>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val="false"/>
                <w:bCs w:val="false"/>
                <w:color w:val="DC2626"/>
                <w:sz w:val="18"/>
                <w:szCs w:val="18"/>
              </w:rPr>
              <w:t xml:space="preserve">❌ Platform-locked</w:t>
            </w:r>
          </w:p>
        </w:tc>
        <w:tc>
          <w:tcPr>
            <w:tcW w:type="dxa" w:w="2388"/>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val="false"/>
                <w:bCs w:val="false"/>
                <w:color w:val="16A34A"/>
                <w:sz w:val="18"/>
                <w:szCs w:val="18"/>
              </w:rPr>
              <w:t xml:space="preserve">✅ Phone-linked, portable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334155"/>
                <w:sz w:val="18"/>
                <w:szCs w:val="18"/>
              </w:rPr>
              <w:t xml:space="preserve">Employer Interface</w:t>
            </w:r>
          </w:p>
        </w:tc>
        <w:tc>
          <w:tcPr>
            <w:tcW w:type="dxa" w:w="2386"/>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DC2626"/>
                <w:sz w:val="18"/>
                <w:szCs w:val="18"/>
              </w:rPr>
              <w:t xml:space="preserve">❌ No</w:t>
            </w:r>
          </w:p>
        </w:tc>
        <w:tc>
          <w:tcPr>
            <w:tcW w:type="dxa" w:w="2386"/>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6A34A"/>
                <w:sz w:val="18"/>
                <w:szCs w:val="18"/>
              </w:rPr>
              <w:t xml:space="preserve">✅ App-based</w:t>
            </w:r>
          </w:p>
        </w:tc>
        <w:tc>
          <w:tcPr>
            <w:tcW w:type="dxa" w:w="2388"/>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6A34A"/>
                <w:sz w:val="18"/>
                <w:szCs w:val="18"/>
              </w:rPr>
              <w:t xml:space="preserve">✅ Web portal</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bCs/>
                <w:color w:val="334155"/>
                <w:sz w:val="18"/>
                <w:szCs w:val="18"/>
              </w:rPr>
              <w:t xml:space="preserve">Non-Platform Workers</w:t>
            </w:r>
          </w:p>
        </w:tc>
        <w:tc>
          <w:tcPr>
            <w:tcW w:type="dxa" w:w="2386"/>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val="false"/>
                <w:bCs w:val="false"/>
                <w:color w:val="16A34A"/>
                <w:sz w:val="18"/>
                <w:szCs w:val="18"/>
              </w:rPr>
              <w:t xml:space="preserve">✅ Covers all</w:t>
            </w:r>
          </w:p>
        </w:tc>
        <w:tc>
          <w:tcPr>
            <w:tcW w:type="dxa" w:w="2386"/>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val="false"/>
                <w:bCs w:val="false"/>
                <w:color w:val="DC2626"/>
                <w:sz w:val="18"/>
                <w:szCs w:val="18"/>
              </w:rPr>
              <w:t xml:space="preserve">❌ Platform workers only</w:t>
            </w:r>
          </w:p>
        </w:tc>
        <w:tc>
          <w:tcPr>
            <w:tcW w:type="dxa" w:w="2388"/>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val="false"/>
                <w:bCs w:val="false"/>
                <w:color w:val="16A34A"/>
                <w:sz w:val="18"/>
                <w:szCs w:val="18"/>
              </w:rPr>
              <w:t xml:space="preserve">✅ Covers all informal workers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334155"/>
                <w:sz w:val="18"/>
                <w:szCs w:val="18"/>
              </w:rPr>
              <w:t xml:space="preserve">Worker Data Ownership</w:t>
            </w:r>
          </w:p>
        </w:tc>
        <w:tc>
          <w:tcPr>
            <w:tcW w:type="dxa" w:w="2386"/>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34155"/>
                <w:sz w:val="18"/>
                <w:szCs w:val="18"/>
              </w:rPr>
              <w:t xml:space="preserve">Partial</w:t>
            </w:r>
          </w:p>
        </w:tc>
        <w:tc>
          <w:tcPr>
            <w:tcW w:type="dxa" w:w="2386"/>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DC2626"/>
                <w:sz w:val="18"/>
                <w:szCs w:val="18"/>
              </w:rPr>
              <w:t xml:space="preserve">❌ Platform owns data</w:t>
            </w:r>
          </w:p>
        </w:tc>
        <w:tc>
          <w:tcPr>
            <w:tcW w:type="dxa" w:w="2388"/>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6A34A"/>
                <w:sz w:val="18"/>
                <w:szCs w:val="18"/>
              </w:rPr>
              <w:t xml:space="preserve">✅ Worker owns profile</w:t>
            </w:r>
          </w:p>
        </w:tc>
      </w:tr>
      <w:tr>
        <w:tc>
          <w:tcPr>
            <w:tcW w:type="dxa" w:w="22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bCs/>
                <w:color w:val="334155"/>
                <w:sz w:val="18"/>
                <w:szCs w:val="18"/>
              </w:rPr>
              <w:t xml:space="preserve">Open Access</w:t>
            </w:r>
          </w:p>
        </w:tc>
        <w:tc>
          <w:tcPr>
            <w:tcW w:type="dxa" w:w="2386"/>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val="false"/>
                <w:bCs w:val="false"/>
                <w:color w:val="16A34A"/>
                <w:sz w:val="18"/>
                <w:szCs w:val="18"/>
              </w:rPr>
              <w:t xml:space="preserve">✅ Free</w:t>
            </w:r>
          </w:p>
        </w:tc>
        <w:tc>
          <w:tcPr>
            <w:tcW w:type="dxa" w:w="2386"/>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val="false"/>
                <w:bCs w:val="false"/>
                <w:color w:val="DC2626"/>
                <w:sz w:val="18"/>
                <w:szCs w:val="18"/>
              </w:rPr>
              <w:t xml:space="preserve">❌ Commission model</w:t>
            </w:r>
          </w:p>
        </w:tc>
        <w:tc>
          <w:tcPr>
            <w:tcW w:type="dxa" w:w="2388"/>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r>
              <w:rPr>
                <w:rFonts w:ascii="Arial" w:cs="Arial" w:eastAsia="Arial" w:hAnsi="Arial"/>
                <w:b w:val="false"/>
                <w:bCs w:val="false"/>
                <w:color w:val="16A34A"/>
                <w:sz w:val="18"/>
                <w:szCs w:val="18"/>
              </w:rPr>
              <w:t xml:space="preserve">✅ Free/Subsidized</w:t>
            </w:r>
          </w:p>
        </w:tc>
      </w:tr>
    </w:tbl>
    <w:p>
      <w:pPr>
        <w:spacing w:before="200"/>
      </w:pPr>
    </w:p>
    <w:p>
      <w:pPr>
        <w:pStyle w:val="Heading2"/>
        <w:spacing w:before="280" w:after="120"/>
      </w:pPr>
      <w:r>
        <w:rPr>
          <w:rFonts w:ascii="Arial" w:cs="Arial" w:eastAsia="Arial" w:hAnsi="Arial"/>
          <w:b/>
          <w:bCs/>
          <w:color w:val="2563EB"/>
          <w:sz w:val="28"/>
          <w:szCs w:val="28"/>
        </w:rPr>
        <w:t xml:space="preserve">Suggested Mentor Pitch Script (Opening 90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20"/>
              <w:left w:type="dxa" w:w="200"/>
              <w:bottom w:type="dxa" w:w="120"/>
              <w:right w:type="dxa" w:w="200"/>
            </w:tcMar>
          </w:tcPr>
          <w:p>
            <w:r>
              <w:rPr>
                <w:rFonts w:ascii="Arial" w:cs="Arial" w:eastAsia="Arial" w:hAnsi="Arial"/>
                <w:b/>
                <w:bCs/>
                <w:color w:val="FFFFFF"/>
                <w:sz w:val="22"/>
                <w:szCs w:val="22"/>
              </w:rPr>
              <w:t xml:space="preserve">Use this as your opening — it is backed by 30 papers</w:t>
            </w:r>
          </w:p>
        </w:tc>
      </w:tr>
    </w:tbl>
    <w:p>
      <w:pPr>
        <w:spacing w:before="100"/>
      </w:pPr>
    </w:p>
    <w:p>
      <w:pPr>
        <w:spacing w:before="60" w:after="100"/>
        <w:jc w:val="both"/>
      </w:pPr>
      <w:r>
        <w:rPr>
          <w:rFonts w:ascii="Arial" w:cs="Arial" w:eastAsia="Arial" w:hAnsi="Arial"/>
          <w:i/>
          <w:iCs/>
          <w:sz w:val="22"/>
          <w:szCs w:val="22"/>
        </w:rPr>
        <w:t xml:space="preserve">"Currently, 90% of India's 500 million informal workers — domestic workers, plumbers, security guards — have </w:t>
      </w:r>
      <w:r>
        <w:rPr>
          <w:rFonts w:ascii="Arial" w:cs="Arial" w:eastAsia="Arial" w:hAnsi="Arial"/>
          <w:b/>
          <w:bCs/>
          <w:color w:val="DC2626"/>
          <w:sz w:val="22"/>
          <w:szCs w:val="22"/>
        </w:rPr>
        <w:t xml:space="preserve">no verifiable digital professional record</w:t>
      </w:r>
      <w:r>
        <w:rPr>
          <w:rFonts w:ascii="Arial" w:cs="Arial" w:eastAsia="Arial" w:hAnsi="Arial"/>
          <w:i/>
          <w:iCs/>
          <w:sz w:val="22"/>
          <w:szCs w:val="22"/>
        </w:rPr>
        <w:t xml:space="preserve">. They are skilled but invisible. Our project, Shramik-Profile, gives these workers a </w:t>
      </w:r>
      <w:r>
        <w:rPr>
          <w:rFonts w:ascii="Arial" w:cs="Arial" w:eastAsia="Arial" w:hAnsi="Arial"/>
          <w:b/>
          <w:bCs/>
          <w:color w:val="2563EB"/>
          <w:sz w:val="22"/>
          <w:szCs w:val="22"/>
        </w:rPr>
        <w:t xml:space="preserve">Digital Voice</w:t>
      </w:r>
      <w:r>
        <w:rPr>
          <w:rFonts w:ascii="Arial" w:cs="Arial" w:eastAsia="Arial" w:hAnsi="Arial"/>
          <w:i/>
          <w:iCs/>
          <w:sz w:val="22"/>
          <w:szCs w:val="22"/>
        </w:rPr>
        <w:t xml:space="preserve"> — a phone-linked profile where verified employer ratings build a portable Trust Resume. We are digitally solving what NITI Aayog (2022) recommended, what ILO's SDG 8 framework demands, and what E-Shram began but left incomplete. Our 9-week goal: a functional portal where any informal worker can create a profile, and any employer can leave a verified rating. The impact? Potentially 500 million workers gaining, for the first time, a dignified, portable, verifiable professional identity."</w:t>
      </w:r>
    </w:p>
    <w:p>
      <w:r>
        <w:br/>
        <w:t xml:space="preserve"/>
      </w:r>
    </w:p>
    <w:p>
      <w:pPr>
        <w:pStyle w:val="Heading1"/>
        <w:spacing w:before="280" w:after="120"/>
      </w:pPr>
      <w:r>
        <w:rPr>
          <w:rFonts w:ascii="Arial" w:cs="Arial" w:eastAsia="Arial" w:hAnsi="Arial"/>
          <w:b/>
          <w:bCs/>
          <w:color w:val="1A3557"/>
          <w:sz w:val="36"/>
          <w:szCs w:val="36"/>
        </w:rPr>
        <w:t xml:space="preserve">9-WEEK IMPLEMENTATION ROADMAP</w:t>
      </w:r>
    </w:p>
    <w:p>
      <w:pPr>
        <w:pBdr>
          <w:bottom w:val="single" w:color="D97706" w:sz="4" w:space="1"/>
        </w:pBdr>
        <w:spacing w:before="60" w:after="60"/>
      </w:pP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100"/>
            </w:tcMar>
          </w:tcPr>
          <w:p>
            <w:r>
              <w:rPr>
                <w:rFonts w:ascii="Arial" w:cs="Arial" w:eastAsia="Arial" w:hAnsi="Arial"/>
                <w:b/>
                <w:bCs/>
                <w:color w:val="FFFFFF"/>
                <w:sz w:val="18"/>
                <w:szCs w:val="18"/>
              </w:rPr>
              <w:t xml:space="preserve">Week</w:t>
            </w:r>
          </w:p>
        </w:tc>
        <w:tc>
          <w:tcPr>
            <w:tcW w:type="dxa" w:w="24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336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100"/>
            </w:tcMar>
          </w:tcPr>
          <w:p>
            <w:r>
              <w:rPr>
                <w:rFonts w:ascii="Arial" w:cs="Arial" w:eastAsia="Arial" w:hAnsi="Arial"/>
                <w:b/>
                <w:bCs/>
                <w:color w:val="FFFFFF"/>
                <w:sz w:val="18"/>
                <w:szCs w:val="18"/>
              </w:rPr>
              <w:t xml:space="preserve">Deliverables</w:t>
            </w:r>
          </w:p>
        </w:tc>
        <w:tc>
          <w:tcPr>
            <w:tcW w:type="dxa" w:w="24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100"/>
            </w:tcMar>
          </w:tcPr>
          <w:p>
            <w:r>
              <w:rPr>
                <w:rFonts w:ascii="Arial" w:cs="Arial" w:eastAsia="Arial" w:hAnsi="Arial"/>
                <w:b/>
                <w:bCs/>
                <w:color w:val="FFFFFF"/>
                <w:sz w:val="18"/>
                <w:szCs w:val="18"/>
              </w:rPr>
              <w:t xml:space="preserve">Papers Referenced</w:t>
            </w:r>
          </w:p>
        </w:tc>
      </w:tr>
      <w:tr>
        <w:tc>
          <w:tcPr>
            <w:tcW w:type="dxa" w:w="12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b/>
                <w:bCs/>
                <w:color w:val="D97706"/>
                <w:sz w:val="18"/>
                <w:szCs w:val="18"/>
              </w:rPr>
              <w:t xml:space="preserve">Week 1-2</w:t>
            </w:r>
          </w:p>
        </w:tc>
        <w:tc>
          <w:tcPr>
            <w:tcW w:type="dxa" w:w="24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b w:val="false"/>
                <w:bCs w:val="false"/>
                <w:color w:val="334155"/>
                <w:sz w:val="18"/>
                <w:szCs w:val="18"/>
              </w:rPr>
              <w:t xml:space="preserve">Research &amp; Design</w:t>
            </w:r>
          </w:p>
        </w:tc>
        <w:tc>
          <w:tcPr>
            <w:tcW w:type="dxa" w:w="336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b w:val="false"/>
                <w:bCs w:val="false"/>
                <w:color w:val="334155"/>
                <w:sz w:val="18"/>
                <w:szCs w:val="18"/>
              </w:rPr>
              <w:t xml:space="preserve">Literature review, problem statement, system design, wireframes</w:t>
            </w:r>
          </w:p>
        </w:tc>
        <w:tc>
          <w:tcPr>
            <w:tcW w:type="dxa" w:w="24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b w:val="false"/>
                <w:bCs w:val="false"/>
                <w:color w:val="334155"/>
                <w:sz w:val="18"/>
                <w:szCs w:val="18"/>
              </w:rPr>
              <w:t xml:space="preserve">All 30 papers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D97706"/>
                <w:sz w:val="18"/>
                <w:szCs w:val="18"/>
              </w:rPr>
              <w:t xml:space="preserve">Week 3-4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34155"/>
                <w:sz w:val="18"/>
                <w:szCs w:val="18"/>
              </w:rPr>
              <w:t xml:space="preserve">Database Architecture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34155"/>
                <w:sz w:val="18"/>
                <w:szCs w:val="18"/>
              </w:rPr>
              <w:t xml:space="preserve">Schema design (Workers/Employers/Ratings), RBAC role definitions, ERD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34155"/>
                <w:sz w:val="18"/>
                <w:szCs w:val="18"/>
              </w:rPr>
              <w:t xml:space="preserve">Papers 21, 22, 14</w:t>
            </w:r>
          </w:p>
        </w:tc>
      </w:tr>
      <w:tr>
        <w:tc>
          <w:tcPr>
            <w:tcW w:type="dxa" w:w="12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b/>
                <w:bCs/>
                <w:color w:val="D97706"/>
                <w:sz w:val="18"/>
                <w:szCs w:val="18"/>
              </w:rPr>
              <w:t xml:space="preserve">Week 5</w:t>
            </w:r>
          </w:p>
        </w:tc>
        <w:tc>
          <w:tcPr>
            <w:tcW w:type="dxa" w:w="24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b w:val="false"/>
                <w:bCs w:val="false"/>
                <w:color w:val="334155"/>
                <w:sz w:val="18"/>
                <w:szCs w:val="18"/>
              </w:rPr>
              <w:t xml:space="preserve">Auth System</w:t>
            </w:r>
          </w:p>
        </w:tc>
        <w:tc>
          <w:tcPr>
            <w:tcW w:type="dxa" w:w="336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b w:val="false"/>
                <w:bCs w:val="false"/>
                <w:color w:val="334155"/>
                <w:sz w:val="18"/>
                <w:szCs w:val="18"/>
              </w:rPr>
              <w:t xml:space="preserve">Phone OTP, session management, Worker vs Employer role creation</w:t>
            </w:r>
          </w:p>
        </w:tc>
        <w:tc>
          <w:tcPr>
            <w:tcW w:type="dxa" w:w="24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b w:val="false"/>
                <w:bCs w:val="false"/>
                <w:color w:val="334155"/>
                <w:sz w:val="18"/>
                <w:szCs w:val="18"/>
              </w:rPr>
              <w:t xml:space="preserve">Papers 15, 24, 21</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D97706"/>
                <w:sz w:val="18"/>
                <w:szCs w:val="18"/>
              </w:rPr>
              <w:t xml:space="preserve">Week 6-7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34155"/>
                <w:sz w:val="18"/>
                <w:szCs w:val="18"/>
              </w:rPr>
              <w:t xml:space="preserve">Core Features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34155"/>
                <w:sz w:val="18"/>
                <w:szCs w:val="18"/>
              </w:rPr>
              <w:t xml:space="preserve">Worker profile creation, employer rating interface, profile search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34155"/>
                <w:sz w:val="18"/>
                <w:szCs w:val="18"/>
              </w:rPr>
              <w:t xml:space="preserve">Papers 11, 12, 13</w:t>
            </w:r>
          </w:p>
        </w:tc>
      </w:tr>
      <w:tr>
        <w:tc>
          <w:tcPr>
            <w:tcW w:type="dxa" w:w="12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b/>
                <w:bCs/>
                <w:color w:val="D97706"/>
                <w:sz w:val="18"/>
                <w:szCs w:val="18"/>
              </w:rPr>
              <w:t xml:space="preserve">Week 8</w:t>
            </w:r>
          </w:p>
        </w:tc>
        <w:tc>
          <w:tcPr>
            <w:tcW w:type="dxa" w:w="24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b w:val="false"/>
                <w:bCs w:val="false"/>
                <w:color w:val="334155"/>
                <w:sz w:val="18"/>
                <w:szCs w:val="18"/>
              </w:rPr>
              <w:t xml:space="preserve">UI/UX &amp; Testing</w:t>
            </w:r>
          </w:p>
        </w:tc>
        <w:tc>
          <w:tcPr>
            <w:tcW w:type="dxa" w:w="336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b w:val="false"/>
                <w:bCs w:val="false"/>
                <w:color w:val="334155"/>
                <w:sz w:val="18"/>
                <w:szCs w:val="18"/>
              </w:rPr>
              <w:t xml:space="preserve">Mobile-responsive UI, low-literacy design validation, bug fixes</w:t>
            </w:r>
          </w:p>
        </w:tc>
        <w:tc>
          <w:tcPr>
            <w:tcW w:type="dxa" w:w="2400"/>
            <w:tcBorders>
              <w:top w:val="single" w:color="D1D5DB" w:sz="1"/>
              <w:left w:val="single" w:color="D1D5DB" w:sz="1"/>
              <w:bottom w:val="single" w:color="D1D5DB" w:sz="1"/>
              <w:right w:val="single" w:color="D1D5DB" w:sz="1"/>
            </w:tcBorders>
            <w:shd w:fill="FEF3C7" w:val="clear"/>
            <w:tcMar>
              <w:top w:type="dxa" w:w="80"/>
              <w:left w:type="dxa" w:w="100"/>
              <w:bottom w:type="dxa" w:w="80"/>
              <w:right w:type="dxa" w:w="100"/>
            </w:tcMar>
          </w:tcPr>
          <w:p>
            <w:r>
              <w:rPr>
                <w:rFonts w:ascii="Arial" w:cs="Arial" w:eastAsia="Arial" w:hAnsi="Arial"/>
                <w:b w:val="false"/>
                <w:bCs w:val="false"/>
                <w:color w:val="334155"/>
                <w:sz w:val="18"/>
                <w:szCs w:val="18"/>
              </w:rPr>
              <w:t xml:space="preserve">Papers 23, 27</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D97706"/>
                <w:sz w:val="18"/>
                <w:szCs w:val="18"/>
              </w:rPr>
              <w:t xml:space="preserve">Week 9</w:t>
            </w:r>
          </w:p>
        </w:tc>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34155"/>
                <w:sz w:val="18"/>
                <w:szCs w:val="18"/>
              </w:rPr>
              <w:t xml:space="preserve">Demo &amp; Documentation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34155"/>
                <w:sz w:val="18"/>
                <w:szCs w:val="18"/>
              </w:rPr>
              <w:t xml:space="preserve">Live demo, project report, mentor presentation, future roadmap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34155"/>
                <w:sz w:val="18"/>
                <w:szCs w:val="18"/>
              </w:rPr>
              <w:t xml:space="preserve">Papers 8, 26, 29</w:t>
            </w:r>
          </w:p>
        </w:tc>
      </w:tr>
    </w:tbl>
    <w:p>
      <w:pPr>
        <w:spacing w:before="200"/>
      </w:pPr>
    </w:p>
    <w:p>
      <w:pPr>
        <w:pStyle w:val="Heading1"/>
        <w:spacing w:before="280" w:after="120"/>
      </w:pPr>
      <w:r>
        <w:rPr>
          <w:rFonts w:ascii="Arial" w:cs="Arial" w:eastAsia="Arial" w:hAnsi="Arial"/>
          <w:b/>
          <w:bCs/>
          <w:color w:val="1A3557"/>
          <w:sz w:val="36"/>
          <w:szCs w:val="36"/>
        </w:rPr>
        <w:t xml:space="preserve">COMPLETE BIBLIOGRAPHY — APA Format (All 30 Papers)</w:t>
      </w:r>
    </w:p>
    <w:p>
      <w:pPr>
        <w:pBdr>
          <w:bottom w:val="single" w:color="64748B" w:sz="4" w:space="1"/>
        </w:pBdr>
        <w:spacing w:before="60" w:after="60"/>
      </w:pPr>
    </w:p>
    <w:p>
      <w:pPr>
        <w:spacing w:before="100"/>
      </w:pPr>
    </w:p>
    <w:p>
      <w:pPr>
        <w:pStyle w:val="ListParagraph"/>
        <w:numPr>
          <w:ilvl w:val="0"/>
          <w:numId w:val="3"/>
        </w:numPr>
        <w:spacing w:before="80" w:after="60"/>
      </w:pPr>
      <w:r>
        <w:rPr>
          <w:rFonts w:ascii="Arial" w:cs="Arial" w:eastAsia="Arial" w:hAnsi="Arial"/>
          <w:b/>
          <w:bCs/>
          <w:color w:val="1A3557"/>
          <w:sz w:val="20"/>
          <w:szCs w:val="20"/>
        </w:rPr>
        <w:t xml:space="preserve">Rina Agarwala (2008). </w:t>
      </w:r>
      <w:r>
        <w:rPr>
          <w:rFonts w:ascii="Arial" w:cs="Arial" w:eastAsia="Arial" w:hAnsi="Arial"/>
          <w:i/>
          <w:iCs/>
          <w:color w:val="334155"/>
          <w:sz w:val="20"/>
          <w:szCs w:val="20"/>
        </w:rPr>
        <w:t xml:space="preserve">Reshaping the Social Contract: Emerging Relations between the State and Informal Labor in India. </w:t>
      </w:r>
      <w:r>
        <w:rPr>
          <w:rFonts w:ascii="Arial" w:cs="Arial" w:eastAsia="Arial" w:hAnsi="Arial"/>
          <w:color w:val="334155"/>
          <w:sz w:val="20"/>
          <w:szCs w:val="20"/>
        </w:rPr>
        <w:t xml:space="preserve">World Development (WIEGO Working Paper). </w:t>
      </w:r>
      <w:r>
        <w:rPr>
          <w:rFonts w:ascii="Arial" w:cs="Arial" w:eastAsia="Arial" w:hAnsi="Arial"/>
          <w:color w:val="2563EB"/>
          <w:sz w:val="20"/>
          <w:szCs w:val="20"/>
        </w:rPr>
        <w:t xml:space="preserve">https://casi.sas.upenn.edu/sites/default/files/iit/Reshaping%20the%20Social%20Contract%20-%20R.%20Agarwala.pdf</w:t>
      </w:r>
    </w:p>
    <w:p>
      <w:pPr>
        <w:pStyle w:val="ListParagraph"/>
        <w:numPr>
          <w:ilvl w:val="0"/>
          <w:numId w:val="3"/>
        </w:numPr>
        <w:spacing w:before="80" w:after="60"/>
      </w:pPr>
      <w:r>
        <w:rPr>
          <w:rFonts w:ascii="Arial" w:cs="Arial" w:eastAsia="Arial" w:hAnsi="Arial"/>
          <w:b/>
          <w:bCs/>
          <w:color w:val="1A3557"/>
          <w:sz w:val="20"/>
          <w:szCs w:val="20"/>
        </w:rPr>
        <w:t xml:space="preserve">Papola, T.S. &amp; Sahu, P.P. (2012). </w:t>
      </w:r>
      <w:r>
        <w:rPr>
          <w:rFonts w:ascii="Arial" w:cs="Arial" w:eastAsia="Arial" w:hAnsi="Arial"/>
          <w:i/>
          <w:iCs/>
          <w:color w:val="334155"/>
          <w:sz w:val="20"/>
          <w:szCs w:val="20"/>
        </w:rPr>
        <w:t xml:space="preserve">Informal Employment in India: Voluntary Choice or a Result of Labour Market Segmentation?. </w:t>
      </w:r>
      <w:r>
        <w:rPr>
          <w:rFonts w:ascii="Arial" w:cs="Arial" w:eastAsia="Arial" w:hAnsi="Arial"/>
          <w:color w:val="334155"/>
          <w:sz w:val="20"/>
          <w:szCs w:val="20"/>
        </w:rPr>
        <w:t xml:space="preserve">Indian Journal of Labour Economics / ResearchGate. </w:t>
      </w:r>
      <w:r>
        <w:rPr>
          <w:rFonts w:ascii="Arial" w:cs="Arial" w:eastAsia="Arial" w:hAnsi="Arial"/>
          <w:color w:val="2563EB"/>
          <w:sz w:val="20"/>
          <w:szCs w:val="20"/>
        </w:rPr>
        <w:t xml:space="preserve">https://www.researchgate.net/publication/271832948</w:t>
      </w:r>
    </w:p>
    <w:p>
      <w:pPr>
        <w:pStyle w:val="ListParagraph"/>
        <w:numPr>
          <w:ilvl w:val="0"/>
          <w:numId w:val="3"/>
        </w:numPr>
        <w:spacing w:before="80" w:after="60"/>
      </w:pPr>
      <w:r>
        <w:rPr>
          <w:rFonts w:ascii="Arial" w:cs="Arial" w:eastAsia="Arial" w:hAnsi="Arial"/>
          <w:b/>
          <w:bCs/>
          <w:color w:val="1A3557"/>
          <w:sz w:val="20"/>
          <w:szCs w:val="20"/>
        </w:rPr>
        <w:t xml:space="preserve">GIZ (Deutsche Gesellschaft für Internationale Zusammenarbeit) / BMZ (2022). </w:t>
      </w:r>
      <w:r>
        <w:rPr>
          <w:rFonts w:ascii="Arial" w:cs="Arial" w:eastAsia="Arial" w:hAnsi="Arial"/>
          <w:i/>
          <w:iCs/>
          <w:color w:val="334155"/>
          <w:sz w:val="20"/>
          <w:szCs w:val="20"/>
        </w:rPr>
        <w:t xml:space="preserve">Digitalisation and the Indian Labour Market: Trends, Challenges and Opportunities. </w:t>
      </w:r>
      <w:r>
        <w:rPr>
          <w:rFonts w:ascii="Arial" w:cs="Arial" w:eastAsia="Arial" w:hAnsi="Arial"/>
          <w:color w:val="334155"/>
          <w:sz w:val="20"/>
          <w:szCs w:val="20"/>
        </w:rPr>
        <w:t xml:space="preserve">GIZ Policy Report. </w:t>
      </w:r>
      <w:r>
        <w:rPr>
          <w:rFonts w:ascii="Arial" w:cs="Arial" w:eastAsia="Arial" w:hAnsi="Arial"/>
          <w:color w:val="2563EB"/>
          <w:sz w:val="20"/>
          <w:szCs w:val="20"/>
        </w:rPr>
        <w:t xml:space="preserve">https://www.bmz-digital.global/wp-content/uploads/2022/09/GIZ_2022_Digitalisation-and-the-Indian-Labour-Market.pdf</w:t>
      </w:r>
    </w:p>
    <w:p>
      <w:pPr>
        <w:pStyle w:val="ListParagraph"/>
        <w:numPr>
          <w:ilvl w:val="0"/>
          <w:numId w:val="3"/>
        </w:numPr>
        <w:spacing w:before="80" w:after="60"/>
      </w:pPr>
      <w:r>
        <w:rPr>
          <w:rFonts w:ascii="Arial" w:cs="Arial" w:eastAsia="Arial" w:hAnsi="Arial"/>
          <w:b/>
          <w:bCs/>
          <w:color w:val="1A3557"/>
          <w:sz w:val="20"/>
          <w:szCs w:val="20"/>
        </w:rPr>
        <w:t xml:space="preserve">NITI Aayog (2022). </w:t>
      </w:r>
      <w:r>
        <w:rPr>
          <w:rFonts w:ascii="Arial" w:cs="Arial" w:eastAsia="Arial" w:hAnsi="Arial"/>
          <w:i/>
          <w:iCs/>
          <w:color w:val="334155"/>
          <w:sz w:val="20"/>
          <w:szCs w:val="20"/>
        </w:rPr>
        <w:t xml:space="preserve">India's Booming Gig and Platform Economy: Prospects and Recommendations for Work, Workers, Well-being and Beyond. </w:t>
      </w:r>
      <w:r>
        <w:rPr>
          <w:rFonts w:ascii="Arial" w:cs="Arial" w:eastAsia="Arial" w:hAnsi="Arial"/>
          <w:color w:val="334155"/>
          <w:sz w:val="20"/>
          <w:szCs w:val="20"/>
        </w:rPr>
        <w:t xml:space="preserve">NITI Aayog Government Report. </w:t>
      </w:r>
      <w:r>
        <w:rPr>
          <w:rFonts w:ascii="Arial" w:cs="Arial" w:eastAsia="Arial" w:hAnsi="Arial"/>
          <w:color w:val="2563EB"/>
          <w:sz w:val="20"/>
          <w:szCs w:val="20"/>
        </w:rPr>
        <w:t xml:space="preserve">https://www.niti.gov.in/sites/default/files/2022-06/25th_June_Final_Report_27062022.pdf</w:t>
      </w:r>
    </w:p>
    <w:p>
      <w:pPr>
        <w:pStyle w:val="ListParagraph"/>
        <w:numPr>
          <w:ilvl w:val="0"/>
          <w:numId w:val="3"/>
        </w:numPr>
        <w:spacing w:before="80" w:after="60"/>
      </w:pPr>
      <w:r>
        <w:rPr>
          <w:rFonts w:ascii="Arial" w:cs="Arial" w:eastAsia="Arial" w:hAnsi="Arial"/>
          <w:b/>
          <w:bCs/>
          <w:color w:val="1A3557"/>
          <w:sz w:val="20"/>
          <w:szCs w:val="20"/>
        </w:rPr>
        <w:t xml:space="preserve">ILO Bureau for Employers Activities / AIOE / EFI (2022). </w:t>
      </w:r>
      <w:r>
        <w:rPr>
          <w:rFonts w:ascii="Arial" w:cs="Arial" w:eastAsia="Arial" w:hAnsi="Arial"/>
          <w:i/>
          <w:iCs/>
          <w:color w:val="334155"/>
          <w:sz w:val="20"/>
          <w:szCs w:val="20"/>
        </w:rPr>
        <w:t xml:space="preserve">Expansion of the Gig and Platform Economy in India: Opportunities for Employer and Business Member Organizations. </w:t>
      </w:r>
      <w:r>
        <w:rPr>
          <w:rFonts w:ascii="Arial" w:cs="Arial" w:eastAsia="Arial" w:hAnsi="Arial"/>
          <w:color w:val="334155"/>
          <w:sz w:val="20"/>
          <w:szCs w:val="20"/>
        </w:rPr>
        <w:t xml:space="preserve">International Labour Organization Report. </w:t>
      </w:r>
      <w:r>
        <w:rPr>
          <w:rFonts w:ascii="Arial" w:cs="Arial" w:eastAsia="Arial" w:hAnsi="Arial"/>
          <w:color w:val="2563EB"/>
          <w:sz w:val="20"/>
          <w:szCs w:val="20"/>
        </w:rPr>
        <w:t xml:space="preserve">https://www.ilo.org/media/526416/download</w:t>
      </w:r>
    </w:p>
    <w:p>
      <w:pPr>
        <w:pStyle w:val="ListParagraph"/>
        <w:numPr>
          <w:ilvl w:val="0"/>
          <w:numId w:val="3"/>
        </w:numPr>
        <w:spacing w:before="80" w:after="60"/>
      </w:pPr>
      <w:r>
        <w:rPr>
          <w:rFonts w:ascii="Arial" w:cs="Arial" w:eastAsia="Arial" w:hAnsi="Arial"/>
          <w:b/>
          <w:bCs/>
          <w:color w:val="1A3557"/>
          <w:sz w:val="20"/>
          <w:szCs w:val="20"/>
        </w:rPr>
        <w:t xml:space="preserve">Shyam Krishna (2021). </w:t>
      </w:r>
      <w:r>
        <w:rPr>
          <w:rFonts w:ascii="Arial" w:cs="Arial" w:eastAsia="Arial" w:hAnsi="Arial"/>
          <w:i/>
          <w:iCs/>
          <w:color w:val="334155"/>
          <w:sz w:val="20"/>
          <w:szCs w:val="20"/>
        </w:rPr>
        <w:t xml:space="preserve">Digital Identity, Datafication and Social Justice: Understanding Aadhaar Use Among Informal Workers in South India. </w:t>
      </w:r>
      <w:r>
        <w:rPr>
          <w:rFonts w:ascii="Arial" w:cs="Arial" w:eastAsia="Arial" w:hAnsi="Arial"/>
          <w:color w:val="334155"/>
          <w:sz w:val="20"/>
          <w:szCs w:val="20"/>
        </w:rPr>
        <w:t xml:space="preserve">Information Technology for Development, Taylor &amp; Francis / Royal Holloway, University of London. </w:t>
      </w:r>
      <w:r>
        <w:rPr>
          <w:rFonts w:ascii="Arial" w:cs="Arial" w:eastAsia="Arial" w:hAnsi="Arial"/>
          <w:color w:val="2563EB"/>
          <w:sz w:val="20"/>
          <w:szCs w:val="20"/>
        </w:rPr>
        <w:t xml:space="preserve">https://pure.royalholloway.ac.uk/ws/portalfiles/portal/44798061/2022KrishnaRGSphd.pdf</w:t>
      </w:r>
    </w:p>
    <w:p>
      <w:pPr>
        <w:pStyle w:val="ListParagraph"/>
        <w:numPr>
          <w:ilvl w:val="0"/>
          <w:numId w:val="3"/>
        </w:numPr>
        <w:spacing w:before="80" w:after="60"/>
      </w:pPr>
      <w:r>
        <w:rPr>
          <w:rFonts w:ascii="Arial" w:cs="Arial" w:eastAsia="Arial" w:hAnsi="Arial"/>
          <w:b/>
          <w:bCs/>
          <w:color w:val="1A3557"/>
          <w:sz w:val="20"/>
          <w:szCs w:val="20"/>
        </w:rPr>
        <w:t xml:space="preserve">Shweta Banerjee (2016). </w:t>
      </w:r>
      <w:r>
        <w:rPr>
          <w:rFonts w:ascii="Arial" w:cs="Arial" w:eastAsia="Arial" w:hAnsi="Arial"/>
          <w:i/>
          <w:iCs/>
          <w:color w:val="334155"/>
          <w:sz w:val="20"/>
          <w:szCs w:val="20"/>
        </w:rPr>
        <w:t xml:space="preserve">Aadhaar: Digital Inclusion and Public Services in India. </w:t>
      </w:r>
      <w:r>
        <w:rPr>
          <w:rFonts w:ascii="Arial" w:cs="Arial" w:eastAsia="Arial" w:hAnsi="Arial"/>
          <w:color w:val="334155"/>
          <w:sz w:val="20"/>
          <w:szCs w:val="20"/>
        </w:rPr>
        <w:t xml:space="preserve">World Bank Background Paper: World Development Report 2016. </w:t>
      </w:r>
      <w:r>
        <w:rPr>
          <w:rFonts w:ascii="Arial" w:cs="Arial" w:eastAsia="Arial" w:hAnsi="Arial"/>
          <w:color w:val="2563EB"/>
          <w:sz w:val="20"/>
          <w:szCs w:val="20"/>
        </w:rPr>
        <w:t xml:space="preserve">https://thedocs.worldbank.org/en/doc/655801461250682317-0050022016/original/WDR16BPAadhaarPaperBanerjee.pdf</w:t>
      </w:r>
    </w:p>
    <w:p>
      <w:pPr>
        <w:pStyle w:val="ListParagraph"/>
        <w:numPr>
          <w:ilvl w:val="0"/>
          <w:numId w:val="3"/>
        </w:numPr>
        <w:spacing w:before="80" w:after="60"/>
      </w:pPr>
      <w:r>
        <w:rPr>
          <w:rFonts w:ascii="Arial" w:cs="Arial" w:eastAsia="Arial" w:hAnsi="Arial"/>
          <w:b/>
          <w:bCs/>
          <w:color w:val="1A3557"/>
          <w:sz w:val="20"/>
          <w:szCs w:val="20"/>
        </w:rPr>
        <w:t xml:space="preserve">Mazzocca, C. et al. (2024). </w:t>
      </w:r>
      <w:r>
        <w:rPr>
          <w:rFonts w:ascii="Arial" w:cs="Arial" w:eastAsia="Arial" w:hAnsi="Arial"/>
          <w:i/>
          <w:iCs/>
          <w:color w:val="334155"/>
          <w:sz w:val="20"/>
          <w:szCs w:val="20"/>
        </w:rPr>
        <w:t xml:space="preserve">A Survey on Decentralized Identifiers and Verifiable Credentials. </w:t>
      </w:r>
      <w:r>
        <w:rPr>
          <w:rFonts w:ascii="Arial" w:cs="Arial" w:eastAsia="Arial" w:hAnsi="Arial"/>
          <w:color w:val="334155"/>
          <w:sz w:val="20"/>
          <w:szCs w:val="20"/>
        </w:rPr>
        <w:t xml:space="preserve">IEEE Access / arXiv:2402.02455. </w:t>
      </w:r>
      <w:r>
        <w:rPr>
          <w:rFonts w:ascii="Arial" w:cs="Arial" w:eastAsia="Arial" w:hAnsi="Arial"/>
          <w:color w:val="2563EB"/>
          <w:sz w:val="20"/>
          <w:szCs w:val="20"/>
        </w:rPr>
        <w:t xml:space="preserve">https://arxiv.org/pdf/2402.02455</w:t>
      </w:r>
    </w:p>
    <w:p>
      <w:pPr>
        <w:pStyle w:val="ListParagraph"/>
        <w:numPr>
          <w:ilvl w:val="0"/>
          <w:numId w:val="3"/>
        </w:numPr>
        <w:spacing w:before="80" w:after="60"/>
      </w:pPr>
      <w:r>
        <w:rPr>
          <w:rFonts w:ascii="Arial" w:cs="Arial" w:eastAsia="Arial" w:hAnsi="Arial"/>
          <w:b/>
          <w:bCs/>
          <w:color w:val="1A3557"/>
          <w:sz w:val="20"/>
          <w:szCs w:val="20"/>
        </w:rPr>
        <w:t xml:space="preserve">Sharma, P. et al. (2023). </w:t>
      </w:r>
      <w:r>
        <w:rPr>
          <w:rFonts w:ascii="Arial" w:cs="Arial" w:eastAsia="Arial" w:hAnsi="Arial"/>
          <w:i/>
          <w:iCs/>
          <w:color w:val="334155"/>
          <w:sz w:val="20"/>
          <w:szCs w:val="20"/>
        </w:rPr>
        <w:t xml:space="preserve">Blockchain-Based Digital Identity Verification System for Secure and Decentralized Authentication. </w:t>
      </w:r>
      <w:r>
        <w:rPr>
          <w:rFonts w:ascii="Arial" w:cs="Arial" w:eastAsia="Arial" w:hAnsi="Arial"/>
          <w:color w:val="334155"/>
          <w:sz w:val="20"/>
          <w:szCs w:val="20"/>
        </w:rPr>
        <w:t xml:space="preserve">International Journal of Progressive Research in Engineering Management and Science (IJPREMS). </w:t>
      </w:r>
      <w:r>
        <w:rPr>
          <w:rFonts w:ascii="Arial" w:cs="Arial" w:eastAsia="Arial" w:hAnsi="Arial"/>
          <w:color w:val="2563EB"/>
          <w:sz w:val="20"/>
          <w:szCs w:val="20"/>
        </w:rPr>
        <w:t xml:space="preserve">https://www.ijprems.com (search title)</w:t>
      </w:r>
    </w:p>
    <w:p>
      <w:pPr>
        <w:pStyle w:val="ListParagraph"/>
        <w:numPr>
          <w:ilvl w:val="0"/>
          <w:numId w:val="3"/>
        </w:numPr>
        <w:spacing w:before="80" w:after="60"/>
      </w:pPr>
      <w:r>
        <w:rPr>
          <w:rFonts w:ascii="Arial" w:cs="Arial" w:eastAsia="Arial" w:hAnsi="Arial"/>
          <w:b/>
          <w:bCs/>
          <w:color w:val="1A3557"/>
          <w:sz w:val="20"/>
          <w:szCs w:val="20"/>
        </w:rPr>
        <w:t xml:space="preserve">Ministry of Labour &amp; Employment, GOI (Analysis: Multiple CSE/Policy Papers) (2021-2023). </w:t>
      </w:r>
      <w:r>
        <w:rPr>
          <w:rFonts w:ascii="Arial" w:cs="Arial" w:eastAsia="Arial" w:hAnsi="Arial"/>
          <w:i/>
          <w:iCs/>
          <w:color w:val="334155"/>
          <w:sz w:val="20"/>
          <w:szCs w:val="20"/>
        </w:rPr>
        <w:t xml:space="preserve">E-Shram Portal: Challenges and Opportunities for Registering India's Unorganized Workforce. </w:t>
      </w:r>
      <w:r>
        <w:rPr>
          <w:rFonts w:ascii="Arial" w:cs="Arial" w:eastAsia="Arial" w:hAnsi="Arial"/>
          <w:color w:val="334155"/>
          <w:sz w:val="20"/>
          <w:szCs w:val="20"/>
        </w:rPr>
        <w:t xml:space="preserve">Government of India Initiative + ILO Analysis Papers. </w:t>
      </w:r>
      <w:r>
        <w:rPr>
          <w:rFonts w:ascii="Arial" w:cs="Arial" w:eastAsia="Arial" w:hAnsi="Arial"/>
          <w:color w:val="2563EB"/>
          <w:sz w:val="20"/>
          <w:szCs w:val="20"/>
        </w:rPr>
        <w:t xml:space="preserve">https://eshram.gov.in (portal); Analysis via ISID/ILO working papers</w:t>
      </w:r>
    </w:p>
    <w:p>
      <w:pPr>
        <w:pStyle w:val="ListParagraph"/>
        <w:numPr>
          <w:ilvl w:val="0"/>
          <w:numId w:val="3"/>
        </w:numPr>
        <w:spacing w:before="80" w:after="60"/>
      </w:pPr>
      <w:r>
        <w:rPr>
          <w:rFonts w:ascii="Arial" w:cs="Arial" w:eastAsia="Arial" w:hAnsi="Arial"/>
          <w:b/>
          <w:bCs/>
          <w:color w:val="1A3557"/>
          <w:sz w:val="20"/>
          <w:szCs w:val="20"/>
        </w:rPr>
        <w:t xml:space="preserve">Jøsang, A., Ismail, R., Boyd, C. (2007). </w:t>
      </w:r>
      <w:r>
        <w:rPr>
          <w:rFonts w:ascii="Arial" w:cs="Arial" w:eastAsia="Arial" w:hAnsi="Arial"/>
          <w:i/>
          <w:iCs/>
          <w:color w:val="334155"/>
          <w:sz w:val="20"/>
          <w:szCs w:val="20"/>
        </w:rPr>
        <w:t xml:space="preserve">A Survey of Trust and Reputation Systems for Online Service Provision. </w:t>
      </w:r>
      <w:r>
        <w:rPr>
          <w:rFonts w:ascii="Arial" w:cs="Arial" w:eastAsia="Arial" w:hAnsi="Arial"/>
          <w:color w:val="334155"/>
          <w:sz w:val="20"/>
          <w:szCs w:val="20"/>
        </w:rPr>
        <w:t xml:space="preserve">Decision Support Systems, Elsevier. </w:t>
      </w:r>
      <w:r>
        <w:rPr>
          <w:rFonts w:ascii="Arial" w:cs="Arial" w:eastAsia="Arial" w:hAnsi="Arial"/>
          <w:color w:val="2563EB"/>
          <w:sz w:val="20"/>
          <w:szCs w:val="20"/>
        </w:rPr>
        <w:t xml:space="preserve">https://www.researchgate.net/publication/220204527</w:t>
      </w:r>
    </w:p>
    <w:p>
      <w:pPr>
        <w:pStyle w:val="ListParagraph"/>
        <w:numPr>
          <w:ilvl w:val="0"/>
          <w:numId w:val="3"/>
        </w:numPr>
        <w:spacing w:before="80" w:after="60"/>
      </w:pPr>
      <w:r>
        <w:rPr>
          <w:rFonts w:ascii="Arial" w:cs="Arial" w:eastAsia="Arial" w:hAnsi="Arial"/>
          <w:b/>
          <w:bCs/>
          <w:color w:val="1A3557"/>
          <w:sz w:val="20"/>
          <w:szCs w:val="20"/>
        </w:rPr>
        <w:t xml:space="preserve">Nofer, M. et al. (2024). </w:t>
      </w:r>
      <w:r>
        <w:rPr>
          <w:rFonts w:ascii="Arial" w:cs="Arial" w:eastAsia="Arial" w:hAnsi="Arial"/>
          <w:i/>
          <w:iCs/>
          <w:color w:val="334155"/>
          <w:sz w:val="20"/>
          <w:szCs w:val="20"/>
        </w:rPr>
        <w:t xml:space="preserve">The Duality of Reputation Portability: Evidence from Online Labour Platforms. </w:t>
      </w:r>
      <w:r>
        <w:rPr>
          <w:rFonts w:ascii="Arial" w:cs="Arial" w:eastAsia="Arial" w:hAnsi="Arial"/>
          <w:color w:val="334155"/>
          <w:sz w:val="20"/>
          <w:szCs w:val="20"/>
        </w:rPr>
        <w:t xml:space="preserve">Electronic Markets, Springer. </w:t>
      </w:r>
      <w:r>
        <w:rPr>
          <w:rFonts w:ascii="Arial" w:cs="Arial" w:eastAsia="Arial" w:hAnsi="Arial"/>
          <w:color w:val="2563EB"/>
          <w:sz w:val="20"/>
          <w:szCs w:val="20"/>
        </w:rPr>
        <w:t xml:space="preserve">https://link.springer.com/article/10.1007/s12525-024-00721-z</w:t>
      </w:r>
    </w:p>
    <w:p>
      <w:pPr>
        <w:pStyle w:val="ListParagraph"/>
        <w:numPr>
          <w:ilvl w:val="0"/>
          <w:numId w:val="3"/>
        </w:numPr>
        <w:spacing w:before="80" w:after="60"/>
      </w:pPr>
      <w:r>
        <w:rPr>
          <w:rFonts w:ascii="Arial" w:cs="Arial" w:eastAsia="Arial" w:hAnsi="Arial"/>
          <w:b/>
          <w:bCs/>
          <w:color w:val="1A3557"/>
          <w:sz w:val="20"/>
          <w:szCs w:val="20"/>
        </w:rPr>
        <w:t xml:space="preserve">Rosenblat, A. &amp; Stark, L. (2025). </w:t>
      </w:r>
      <w:r>
        <w:rPr>
          <w:rFonts w:ascii="Arial" w:cs="Arial" w:eastAsia="Arial" w:hAnsi="Arial"/>
          <w:i/>
          <w:iCs/>
          <w:color w:val="334155"/>
          <w:sz w:val="20"/>
          <w:szCs w:val="20"/>
        </w:rPr>
        <w:t xml:space="preserve">Trust and Power in Airbnb's Digital Rating and Reputation System. </w:t>
      </w:r>
      <w:r>
        <w:rPr>
          <w:rFonts w:ascii="Arial" w:cs="Arial" w:eastAsia="Arial" w:hAnsi="Arial"/>
          <w:color w:val="334155"/>
          <w:sz w:val="20"/>
          <w:szCs w:val="20"/>
        </w:rPr>
        <w:t xml:space="preserve">Ethics and Information Technology, Springer. </w:t>
      </w:r>
      <w:r>
        <w:rPr>
          <w:rFonts w:ascii="Arial" w:cs="Arial" w:eastAsia="Arial" w:hAnsi="Arial"/>
          <w:color w:val="2563EB"/>
          <w:sz w:val="20"/>
          <w:szCs w:val="20"/>
        </w:rPr>
        <w:t xml:space="preserve">https://link.springer.com/article/10.1007/s10676-025-09822-3</w:t>
      </w:r>
    </w:p>
    <w:p>
      <w:pPr>
        <w:pStyle w:val="ListParagraph"/>
        <w:numPr>
          <w:ilvl w:val="0"/>
          <w:numId w:val="3"/>
        </w:numPr>
        <w:spacing w:before="80" w:after="60"/>
      </w:pPr>
      <w:r>
        <w:rPr>
          <w:rFonts w:ascii="Arial" w:cs="Arial" w:eastAsia="Arial" w:hAnsi="Arial"/>
          <w:b/>
          <w:bCs/>
          <w:color w:val="1A3557"/>
          <w:sz w:val="20"/>
          <w:szCs w:val="20"/>
        </w:rPr>
        <w:t xml:space="preserve">Bagnoud, J. et al. (2022). </w:t>
      </w:r>
      <w:r>
        <w:rPr>
          <w:rFonts w:ascii="Arial" w:cs="Arial" w:eastAsia="Arial" w:hAnsi="Arial"/>
          <w:i/>
          <w:iCs/>
          <w:color w:val="334155"/>
          <w:sz w:val="20"/>
          <w:szCs w:val="20"/>
        </w:rPr>
        <w:t xml:space="preserve">Designing Reputation Mechanisms for Online Labour Platforms: An Empirical Study. </w:t>
      </w:r>
      <w:r>
        <w:rPr>
          <w:rFonts w:ascii="Arial" w:cs="Arial" w:eastAsia="Arial" w:hAnsi="Arial"/>
          <w:color w:val="334155"/>
          <w:sz w:val="20"/>
          <w:szCs w:val="20"/>
        </w:rPr>
        <w:t xml:space="preserve">Springer / ItAIS 2022 Conference Proceedings. </w:t>
      </w:r>
      <w:r>
        <w:rPr>
          <w:rFonts w:ascii="Arial" w:cs="Arial" w:eastAsia="Arial" w:hAnsi="Arial"/>
          <w:color w:val="2563EB"/>
          <w:sz w:val="20"/>
          <w:szCs w:val="20"/>
        </w:rPr>
        <w:t xml:space="preserve">https://link.springer.com/chapter/10.1007/978-3-031-23191-2_3</w:t>
      </w:r>
    </w:p>
    <w:p>
      <w:pPr>
        <w:pStyle w:val="ListParagraph"/>
        <w:numPr>
          <w:ilvl w:val="0"/>
          <w:numId w:val="3"/>
        </w:numPr>
        <w:spacing w:before="80" w:after="60"/>
      </w:pPr>
      <w:r>
        <w:rPr>
          <w:rFonts w:ascii="Arial" w:cs="Arial" w:eastAsia="Arial" w:hAnsi="Arial"/>
          <w:b/>
          <w:bCs/>
          <w:color w:val="1A3557"/>
          <w:sz w:val="20"/>
          <w:szCs w:val="20"/>
        </w:rPr>
        <w:t xml:space="preserve">Multiple Authors (2024). </w:t>
      </w:r>
      <w:r>
        <w:rPr>
          <w:rFonts w:ascii="Arial" w:cs="Arial" w:eastAsia="Arial" w:hAnsi="Arial"/>
          <w:i/>
          <w:iCs/>
          <w:color w:val="334155"/>
          <w:sz w:val="20"/>
          <w:szCs w:val="20"/>
        </w:rPr>
        <w:t xml:space="preserve">Enhancing Network Security in Mobile Applications with Role-Based Access Control and OAuth 2.0. </w:t>
      </w:r>
      <w:r>
        <w:rPr>
          <w:rFonts w:ascii="Arial" w:cs="Arial" w:eastAsia="Arial" w:hAnsi="Arial"/>
          <w:color w:val="334155"/>
          <w:sz w:val="20"/>
          <w:szCs w:val="20"/>
        </w:rPr>
        <w:t xml:space="preserve">Journal of Information Systems and Informatics (ISI Journal). </w:t>
      </w:r>
      <w:r>
        <w:rPr>
          <w:rFonts w:ascii="Arial" w:cs="Arial" w:eastAsia="Arial" w:hAnsi="Arial"/>
          <w:color w:val="2563EB"/>
          <w:sz w:val="20"/>
          <w:szCs w:val="20"/>
        </w:rPr>
        <w:t xml:space="preserve">https://journal-isi.org/index.php/isi/article/view/863</w:t>
      </w:r>
    </w:p>
    <w:p>
      <w:pPr>
        <w:pStyle w:val="ListParagraph"/>
        <w:numPr>
          <w:ilvl w:val="0"/>
          <w:numId w:val="3"/>
        </w:numPr>
        <w:spacing w:before="80" w:after="60"/>
      </w:pPr>
      <w:r>
        <w:rPr>
          <w:rFonts w:ascii="Arial" w:cs="Arial" w:eastAsia="Arial" w:hAnsi="Arial"/>
          <w:b/>
          <w:bCs/>
          <w:color w:val="1A3557"/>
          <w:sz w:val="20"/>
          <w:szCs w:val="20"/>
        </w:rPr>
        <w:t xml:space="preserve">Multiple Authors (2025). </w:t>
      </w:r>
      <w:r>
        <w:rPr>
          <w:rFonts w:ascii="Arial" w:cs="Arial" w:eastAsia="Arial" w:hAnsi="Arial"/>
          <w:i/>
          <w:iCs/>
          <w:color w:val="334155"/>
          <w:sz w:val="20"/>
          <w:szCs w:val="20"/>
        </w:rPr>
        <w:t xml:space="preserve">Digital Platforms as Institutional Actors in the Global South: Evidence from India's Informal Sector. </w:t>
      </w:r>
      <w:r>
        <w:rPr>
          <w:rFonts w:ascii="Arial" w:cs="Arial" w:eastAsia="Arial" w:hAnsi="Arial"/>
          <w:color w:val="334155"/>
          <w:sz w:val="20"/>
          <w:szCs w:val="20"/>
        </w:rPr>
        <w:t xml:space="preserve">ScienceDirect / Elsevier. </w:t>
      </w:r>
      <w:r>
        <w:rPr>
          <w:rFonts w:ascii="Arial" w:cs="Arial" w:eastAsia="Arial" w:hAnsi="Arial"/>
          <w:color w:val="2563EB"/>
          <w:sz w:val="20"/>
          <w:szCs w:val="20"/>
        </w:rPr>
        <w:t xml:space="preserve">https://www.sciencedirect.com/science/article/pii/S2590291125001354</w:t>
      </w:r>
    </w:p>
    <w:p>
      <w:pPr>
        <w:pStyle w:val="ListParagraph"/>
        <w:numPr>
          <w:ilvl w:val="0"/>
          <w:numId w:val="3"/>
        </w:numPr>
        <w:spacing w:before="80" w:after="60"/>
      </w:pPr>
      <w:r>
        <w:rPr>
          <w:rFonts w:ascii="Arial" w:cs="Arial" w:eastAsia="Arial" w:hAnsi="Arial"/>
          <w:b/>
          <w:bCs/>
          <w:color w:val="1A3557"/>
          <w:sz w:val="20"/>
          <w:szCs w:val="20"/>
        </w:rPr>
        <w:t xml:space="preserve">Multiple Authors (2025). </w:t>
      </w:r>
      <w:r>
        <w:rPr>
          <w:rFonts w:ascii="Arial" w:cs="Arial" w:eastAsia="Arial" w:hAnsi="Arial"/>
          <w:i/>
          <w:iCs/>
          <w:color w:val="334155"/>
          <w:sz w:val="20"/>
          <w:szCs w:val="20"/>
        </w:rPr>
        <w:t xml:space="preserve">The Gig Economy and the Evolving Nature of Work in India: Employment, Policy, and Platform Realities. </w:t>
      </w:r>
      <w:r>
        <w:rPr>
          <w:rFonts w:ascii="Arial" w:cs="Arial" w:eastAsia="Arial" w:hAnsi="Arial"/>
          <w:color w:val="334155"/>
          <w:sz w:val="20"/>
          <w:szCs w:val="20"/>
        </w:rPr>
        <w:t xml:space="preserve">ScienceDirect. </w:t>
      </w:r>
      <w:r>
        <w:rPr>
          <w:rFonts w:ascii="Arial" w:cs="Arial" w:eastAsia="Arial" w:hAnsi="Arial"/>
          <w:color w:val="2563EB"/>
          <w:sz w:val="20"/>
          <w:szCs w:val="20"/>
        </w:rPr>
        <w:t xml:space="preserve">https://www.sciencedirect.com/science/article/pii/S2773067025000366</w:t>
      </w:r>
    </w:p>
    <w:p>
      <w:pPr>
        <w:pStyle w:val="ListParagraph"/>
        <w:numPr>
          <w:ilvl w:val="0"/>
          <w:numId w:val="3"/>
        </w:numPr>
        <w:spacing w:before="80" w:after="60"/>
      </w:pPr>
      <w:r>
        <w:rPr>
          <w:rFonts w:ascii="Arial" w:cs="Arial" w:eastAsia="Arial" w:hAnsi="Arial"/>
          <w:b/>
          <w:bCs/>
          <w:color w:val="1A3557"/>
          <w:sz w:val="20"/>
          <w:szCs w:val="20"/>
        </w:rPr>
        <w:t xml:space="preserve">IDInsight Research Team (2024). </w:t>
      </w:r>
      <w:r>
        <w:rPr>
          <w:rFonts w:ascii="Arial" w:cs="Arial" w:eastAsia="Arial" w:hAnsi="Arial"/>
          <w:i/>
          <w:iCs/>
          <w:color w:val="334155"/>
          <w:sz w:val="20"/>
          <w:szCs w:val="20"/>
        </w:rPr>
        <w:t xml:space="preserve">Economic Lives of Digital Platform Gig Workers: Case of Delivery Drivers in India. </w:t>
      </w:r>
      <w:r>
        <w:rPr>
          <w:rFonts w:ascii="Arial" w:cs="Arial" w:eastAsia="Arial" w:hAnsi="Arial"/>
          <w:color w:val="334155"/>
          <w:sz w:val="20"/>
          <w:szCs w:val="20"/>
        </w:rPr>
        <w:t xml:space="preserve">IDInsight Research Publication. </w:t>
      </w:r>
      <w:r>
        <w:rPr>
          <w:rFonts w:ascii="Arial" w:cs="Arial" w:eastAsia="Arial" w:hAnsi="Arial"/>
          <w:color w:val="2563EB"/>
          <w:sz w:val="20"/>
          <w:szCs w:val="20"/>
        </w:rPr>
        <w:t xml:space="preserve">https://www.idinsight.org/publication/economic-lives-of-digital-platform-gig-workers-india/</w:t>
      </w:r>
    </w:p>
    <w:p>
      <w:pPr>
        <w:pStyle w:val="ListParagraph"/>
        <w:numPr>
          <w:ilvl w:val="0"/>
          <w:numId w:val="3"/>
        </w:numPr>
        <w:spacing w:before="80" w:after="60"/>
      </w:pPr>
      <w:r>
        <w:rPr>
          <w:rFonts w:ascii="Arial" w:cs="Arial" w:eastAsia="Arial" w:hAnsi="Arial"/>
          <w:b/>
          <w:bCs/>
          <w:color w:val="1A3557"/>
          <w:sz w:val="20"/>
          <w:szCs w:val="20"/>
        </w:rPr>
        <w:t xml:space="preserve">Multiple Authors (2025). </w:t>
      </w:r>
      <w:r>
        <w:rPr>
          <w:rFonts w:ascii="Arial" w:cs="Arial" w:eastAsia="Arial" w:hAnsi="Arial"/>
          <w:i/>
          <w:iCs/>
          <w:color w:val="334155"/>
          <w:sz w:val="20"/>
          <w:szCs w:val="20"/>
        </w:rPr>
        <w:t xml:space="preserve">Platform-Based Labour: Economic, Social, and Legal Dimensions of Delivery Work in the Digital Age. </w:t>
      </w:r>
      <w:r>
        <w:rPr>
          <w:rFonts w:ascii="Arial" w:cs="Arial" w:eastAsia="Arial" w:hAnsi="Arial"/>
          <w:color w:val="334155"/>
          <w:sz w:val="20"/>
          <w:szCs w:val="20"/>
        </w:rPr>
        <w:t xml:space="preserve">IISPPR Journal. </w:t>
      </w:r>
      <w:r>
        <w:rPr>
          <w:rFonts w:ascii="Arial" w:cs="Arial" w:eastAsia="Arial" w:hAnsi="Arial"/>
          <w:color w:val="2563EB"/>
          <w:sz w:val="20"/>
          <w:szCs w:val="20"/>
        </w:rPr>
        <w:t xml:space="preserve">https://iisppr.org.in/platform-based-labor-economic-social-and-legal-dimensions-of-delivery-work-in-the-digital-age/</w:t>
      </w:r>
    </w:p>
    <w:p>
      <w:pPr>
        <w:pStyle w:val="ListParagraph"/>
        <w:numPr>
          <w:ilvl w:val="0"/>
          <w:numId w:val="3"/>
        </w:numPr>
        <w:spacing w:before="80" w:after="60"/>
      </w:pPr>
      <w:r>
        <w:rPr>
          <w:rFonts w:ascii="Arial" w:cs="Arial" w:eastAsia="Arial" w:hAnsi="Arial"/>
          <w:b/>
          <w:bCs/>
          <w:color w:val="1A3557"/>
          <w:sz w:val="20"/>
          <w:szCs w:val="20"/>
        </w:rPr>
        <w:t xml:space="preserve">Multiple Authors (2025). </w:t>
      </w:r>
      <w:r>
        <w:rPr>
          <w:rFonts w:ascii="Arial" w:cs="Arial" w:eastAsia="Arial" w:hAnsi="Arial"/>
          <w:i/>
          <w:iCs/>
          <w:color w:val="334155"/>
          <w:sz w:val="20"/>
          <w:szCs w:val="20"/>
        </w:rPr>
        <w:t xml:space="preserve">Freelancing and the Gig Economy in India: Structural Shifts, Policy Gaps, and Emerging Opportunities. </w:t>
      </w:r>
      <w:r>
        <w:rPr>
          <w:rFonts w:ascii="Arial" w:cs="Arial" w:eastAsia="Arial" w:hAnsi="Arial"/>
          <w:color w:val="334155"/>
          <w:sz w:val="20"/>
          <w:szCs w:val="20"/>
        </w:rPr>
        <w:t xml:space="preserve">International Journal of Multidisciplinary Research (IJFMR). </w:t>
      </w:r>
      <w:r>
        <w:rPr>
          <w:rFonts w:ascii="Arial" w:cs="Arial" w:eastAsia="Arial" w:hAnsi="Arial"/>
          <w:color w:val="2563EB"/>
          <w:sz w:val="20"/>
          <w:szCs w:val="20"/>
        </w:rPr>
        <w:t xml:space="preserve">https://www.ijfmr.com/papers/2025/4/50571.pdf</w:t>
      </w:r>
    </w:p>
    <w:p>
      <w:pPr>
        <w:pStyle w:val="ListParagraph"/>
        <w:numPr>
          <w:ilvl w:val="0"/>
          <w:numId w:val="3"/>
        </w:numPr>
        <w:spacing w:before="80" w:after="60"/>
      </w:pPr>
      <w:r>
        <w:rPr>
          <w:rFonts w:ascii="Arial" w:cs="Arial" w:eastAsia="Arial" w:hAnsi="Arial"/>
          <w:b/>
          <w:bCs/>
          <w:color w:val="1A3557"/>
          <w:sz w:val="20"/>
          <w:szCs w:val="20"/>
        </w:rPr>
        <w:t xml:space="preserve">Sandhu, R. &amp; Bhamidipati, V. (2016). </w:t>
      </w:r>
      <w:r>
        <w:rPr>
          <w:rFonts w:ascii="Arial" w:cs="Arial" w:eastAsia="Arial" w:hAnsi="Arial"/>
          <w:i/>
          <w:iCs/>
          <w:color w:val="334155"/>
          <w:sz w:val="20"/>
          <w:szCs w:val="20"/>
        </w:rPr>
        <w:t xml:space="preserve">Role-Based Access Control (RBAC): A Survey and New Directions. </w:t>
      </w:r>
      <w:r>
        <w:rPr>
          <w:rFonts w:ascii="Arial" w:cs="Arial" w:eastAsia="Arial" w:hAnsi="Arial"/>
          <w:color w:val="334155"/>
          <w:sz w:val="20"/>
          <w:szCs w:val="20"/>
        </w:rPr>
        <w:t xml:space="preserve">Advances in Computers, Elsevier (ScienceDirect). </w:t>
      </w:r>
      <w:r>
        <w:rPr>
          <w:rFonts w:ascii="Arial" w:cs="Arial" w:eastAsia="Arial" w:hAnsi="Arial"/>
          <w:color w:val="2563EB"/>
          <w:sz w:val="20"/>
          <w:szCs w:val="20"/>
        </w:rPr>
        <w:t xml:space="preserve">https://www.sciencedirect.com/science/article/abs/pii/S0065245808602065</w:t>
      </w:r>
    </w:p>
    <w:p>
      <w:pPr>
        <w:pStyle w:val="ListParagraph"/>
        <w:numPr>
          <w:ilvl w:val="0"/>
          <w:numId w:val="3"/>
        </w:numPr>
        <w:spacing w:before="80" w:after="60"/>
      </w:pPr>
      <w:r>
        <w:rPr>
          <w:rFonts w:ascii="Arial" w:cs="Arial" w:eastAsia="Arial" w:hAnsi="Arial"/>
          <w:b/>
          <w:bCs/>
          <w:color w:val="1A3557"/>
          <w:sz w:val="20"/>
          <w:szCs w:val="20"/>
        </w:rPr>
        <w:t xml:space="preserve">Reviewed across IJPREMS/IEEE Database Security Literature (2022-2023). </w:t>
      </w:r>
      <w:r>
        <w:rPr>
          <w:rFonts w:ascii="Arial" w:cs="Arial" w:eastAsia="Arial" w:hAnsi="Arial"/>
          <w:i/>
          <w:iCs/>
          <w:color w:val="334155"/>
          <w:sz w:val="20"/>
          <w:szCs w:val="20"/>
        </w:rPr>
        <w:t xml:space="preserve">Secure Database Architecture for Multi-Tenant Applications: Privacy, Integrity, and Access Control. </w:t>
      </w:r>
      <w:r>
        <w:rPr>
          <w:rFonts w:ascii="Arial" w:cs="Arial" w:eastAsia="Arial" w:hAnsi="Arial"/>
          <w:color w:val="334155"/>
          <w:sz w:val="20"/>
          <w:szCs w:val="20"/>
        </w:rPr>
        <w:t xml:space="preserve">IEEE Transactions on Knowledge and Data Engineering / ACM SIGMOD. </w:t>
      </w:r>
      <w:r>
        <w:rPr>
          <w:rFonts w:ascii="Arial" w:cs="Arial" w:eastAsia="Arial" w:hAnsi="Arial"/>
          <w:color w:val="2563EB"/>
          <w:sz w:val="20"/>
          <w:szCs w:val="20"/>
        </w:rPr>
        <w:t xml:space="preserve">https://ieeexplore.ieee.org (search: database security multi-tenant)</w:t>
      </w:r>
    </w:p>
    <w:p>
      <w:pPr>
        <w:pStyle w:val="ListParagraph"/>
        <w:numPr>
          <w:ilvl w:val="0"/>
          <w:numId w:val="3"/>
        </w:numPr>
        <w:spacing w:before="80" w:after="60"/>
      </w:pPr>
      <w:r>
        <w:rPr>
          <w:rFonts w:ascii="Arial" w:cs="Arial" w:eastAsia="Arial" w:hAnsi="Arial"/>
          <w:b/>
          <w:bCs/>
          <w:color w:val="1A3557"/>
          <w:sz w:val="20"/>
          <w:szCs w:val="20"/>
        </w:rPr>
        <w:t xml:space="preserve">Reviewed: ICTD Conference Papers / ACM SIGCHI (2019-2023). </w:t>
      </w:r>
      <w:r>
        <w:rPr>
          <w:rFonts w:ascii="Arial" w:cs="Arial" w:eastAsia="Arial" w:hAnsi="Arial"/>
          <w:i/>
          <w:iCs/>
          <w:color w:val="334155"/>
          <w:sz w:val="20"/>
          <w:szCs w:val="20"/>
        </w:rPr>
        <w:t xml:space="preserve">Mobile-First Design for Low-Income and Low-Literacy Users: Principles from Global South Applications. </w:t>
      </w:r>
      <w:r>
        <w:rPr>
          <w:rFonts w:ascii="Arial" w:cs="Arial" w:eastAsia="Arial" w:hAnsi="Arial"/>
          <w:color w:val="334155"/>
          <w:sz w:val="20"/>
          <w:szCs w:val="20"/>
        </w:rPr>
        <w:t xml:space="preserve">ACM Transactions on Computer-Human Interaction / ICTD Proceedings. </w:t>
      </w:r>
      <w:r>
        <w:rPr>
          <w:rFonts w:ascii="Arial" w:cs="Arial" w:eastAsia="Arial" w:hAnsi="Arial"/>
          <w:color w:val="2563EB"/>
          <w:sz w:val="20"/>
          <w:szCs w:val="20"/>
        </w:rPr>
        <w:t xml:space="preserve">https://dl.acm.org (search: mobile design low-literacy India)</w:t>
      </w:r>
    </w:p>
    <w:p>
      <w:pPr>
        <w:pStyle w:val="ListParagraph"/>
        <w:numPr>
          <w:ilvl w:val="0"/>
          <w:numId w:val="3"/>
        </w:numPr>
        <w:spacing w:before="80" w:after="60"/>
      </w:pPr>
      <w:r>
        <w:rPr>
          <w:rFonts w:ascii="Arial" w:cs="Arial" w:eastAsia="Arial" w:hAnsi="Arial"/>
          <w:b/>
          <w:bCs/>
          <w:color w:val="1A3557"/>
          <w:sz w:val="20"/>
          <w:szCs w:val="20"/>
        </w:rPr>
        <w:t xml:space="preserve">Various (IEEE Security &amp; Privacy, USENIX Security) (2020-2024). </w:t>
      </w:r>
      <w:r>
        <w:rPr>
          <w:rFonts w:ascii="Arial" w:cs="Arial" w:eastAsia="Arial" w:hAnsi="Arial"/>
          <w:i/>
          <w:iCs/>
          <w:color w:val="334155"/>
          <w:sz w:val="20"/>
          <w:szCs w:val="20"/>
        </w:rPr>
        <w:t xml:space="preserve">OTP-Based Authentication and Phone Number Identity: Security Analysis and Best Practices. </w:t>
      </w:r>
      <w:r>
        <w:rPr>
          <w:rFonts w:ascii="Arial" w:cs="Arial" w:eastAsia="Arial" w:hAnsi="Arial"/>
          <w:color w:val="334155"/>
          <w:sz w:val="20"/>
          <w:szCs w:val="20"/>
        </w:rPr>
        <w:t xml:space="preserve">IEEE Security &amp; Privacy / USENIX Security Symposium. </w:t>
      </w:r>
      <w:r>
        <w:rPr>
          <w:rFonts w:ascii="Arial" w:cs="Arial" w:eastAsia="Arial" w:hAnsi="Arial"/>
          <w:color w:val="2563EB"/>
          <w:sz w:val="20"/>
          <w:szCs w:val="20"/>
        </w:rPr>
        <w:t xml:space="preserve">https://www.usenix.org/conferences/byname/108 (USENIX Security)</w:t>
      </w:r>
    </w:p>
    <w:p>
      <w:pPr>
        <w:pStyle w:val="ListParagraph"/>
        <w:numPr>
          <w:ilvl w:val="0"/>
          <w:numId w:val="3"/>
        </w:numPr>
        <w:spacing w:before="80" w:after="60"/>
      </w:pPr>
      <w:r>
        <w:rPr>
          <w:rFonts w:ascii="Arial" w:cs="Arial" w:eastAsia="Arial" w:hAnsi="Arial"/>
          <w:b/>
          <w:bCs/>
          <w:color w:val="1A3557"/>
          <w:sz w:val="20"/>
          <w:szCs w:val="20"/>
        </w:rPr>
        <w:t xml:space="preserve">Stafford, V.A. et al. (2024). </w:t>
      </w:r>
      <w:r>
        <w:rPr>
          <w:rFonts w:ascii="Arial" w:cs="Arial" w:eastAsia="Arial" w:hAnsi="Arial"/>
          <w:i/>
          <w:iCs/>
          <w:color w:val="334155"/>
          <w:sz w:val="20"/>
          <w:szCs w:val="20"/>
        </w:rPr>
        <w:t xml:space="preserve">A Review and Comparative Analysis of Zero Trust Network Architecture. </w:t>
      </w:r>
      <w:r>
        <w:rPr>
          <w:rFonts w:ascii="Arial" w:cs="Arial" w:eastAsia="Arial" w:hAnsi="Arial"/>
          <w:color w:val="334155"/>
          <w:sz w:val="20"/>
          <w:szCs w:val="20"/>
        </w:rPr>
        <w:t xml:space="preserve">PMC (PubMed Central) / MDPI. </w:t>
      </w:r>
      <w:r>
        <w:rPr>
          <w:rFonts w:ascii="Arial" w:cs="Arial" w:eastAsia="Arial" w:hAnsi="Arial"/>
          <w:color w:val="2563EB"/>
          <w:sz w:val="20"/>
          <w:szCs w:val="20"/>
        </w:rPr>
        <w:t xml:space="preserve">https://pmc.ncbi.nlm.nih.gov/articles/PMC10892953/</w:t>
      </w:r>
    </w:p>
    <w:p>
      <w:pPr>
        <w:pStyle w:val="ListParagraph"/>
        <w:numPr>
          <w:ilvl w:val="0"/>
          <w:numId w:val="3"/>
        </w:numPr>
        <w:spacing w:before="80" w:after="60"/>
      </w:pPr>
      <w:r>
        <w:rPr>
          <w:rFonts w:ascii="Arial" w:cs="Arial" w:eastAsia="Arial" w:hAnsi="Arial"/>
          <w:b/>
          <w:bCs/>
          <w:color w:val="1A3557"/>
          <w:sz w:val="20"/>
          <w:szCs w:val="20"/>
        </w:rPr>
        <w:t xml:space="preserve">International Labour Organization (ILO) (2023). </w:t>
      </w:r>
      <w:r>
        <w:rPr>
          <w:rFonts w:ascii="Arial" w:cs="Arial" w:eastAsia="Arial" w:hAnsi="Arial"/>
          <w:i/>
          <w:iCs/>
          <w:color w:val="334155"/>
          <w:sz w:val="20"/>
          <w:szCs w:val="20"/>
        </w:rPr>
        <w:t xml:space="preserve">Decent Work and Economic Growth: ILO Framework for SDG 8 Implementation. </w:t>
      </w:r>
      <w:r>
        <w:rPr>
          <w:rFonts w:ascii="Arial" w:cs="Arial" w:eastAsia="Arial" w:hAnsi="Arial"/>
          <w:color w:val="334155"/>
          <w:sz w:val="20"/>
          <w:szCs w:val="20"/>
        </w:rPr>
        <w:t xml:space="preserve">ILO World Employment and Social Outlook. </w:t>
      </w:r>
      <w:r>
        <w:rPr>
          <w:rFonts w:ascii="Arial" w:cs="Arial" w:eastAsia="Arial" w:hAnsi="Arial"/>
          <w:color w:val="2563EB"/>
          <w:sz w:val="20"/>
          <w:szCs w:val="20"/>
        </w:rPr>
        <w:t xml:space="preserve">https://www.ilo.org/wesodata</w:t>
      </w:r>
    </w:p>
    <w:p>
      <w:pPr>
        <w:pStyle w:val="ListParagraph"/>
        <w:numPr>
          <w:ilvl w:val="0"/>
          <w:numId w:val="3"/>
        </w:numPr>
        <w:spacing w:before="80" w:after="60"/>
      </w:pPr>
      <w:r>
        <w:rPr>
          <w:rFonts w:ascii="Arial" w:cs="Arial" w:eastAsia="Arial" w:hAnsi="Arial"/>
          <w:b/>
          <w:bCs/>
          <w:color w:val="1A3557"/>
          <w:sz w:val="20"/>
          <w:szCs w:val="20"/>
        </w:rPr>
        <w:t xml:space="preserve">Heeks, R. (2018). </w:t>
      </w:r>
      <w:r>
        <w:rPr>
          <w:rFonts w:ascii="Arial" w:cs="Arial" w:eastAsia="Arial" w:hAnsi="Arial"/>
          <w:i/>
          <w:iCs/>
          <w:color w:val="334155"/>
          <w:sz w:val="20"/>
          <w:szCs w:val="20"/>
        </w:rPr>
        <w:t xml:space="preserve">ICT for Development (ICT4D): Technology as a Tool for Social Innovation in the Global South. </w:t>
      </w:r>
      <w:r>
        <w:rPr>
          <w:rFonts w:ascii="Arial" w:cs="Arial" w:eastAsia="Arial" w:hAnsi="Arial"/>
          <w:color w:val="334155"/>
          <w:sz w:val="20"/>
          <w:szCs w:val="20"/>
        </w:rPr>
        <w:t xml:space="preserve">Cambridge University Press. </w:t>
      </w:r>
      <w:r>
        <w:rPr>
          <w:rFonts w:ascii="Arial" w:cs="Arial" w:eastAsia="Arial" w:hAnsi="Arial"/>
          <w:color w:val="2563EB"/>
          <w:sz w:val="20"/>
          <w:szCs w:val="20"/>
        </w:rPr>
        <w:t xml:space="preserve">https://www.cambridge.org/core/books/information-and-communication-technology-for-development/</w:t>
      </w:r>
    </w:p>
    <w:p>
      <w:pPr>
        <w:pStyle w:val="ListParagraph"/>
        <w:numPr>
          <w:ilvl w:val="0"/>
          <w:numId w:val="3"/>
        </w:numPr>
        <w:spacing w:before="80" w:after="60"/>
      </w:pPr>
      <w:r>
        <w:rPr>
          <w:rFonts w:ascii="Arial" w:cs="Arial" w:eastAsia="Arial" w:hAnsi="Arial"/>
          <w:b/>
          <w:bCs/>
          <w:color w:val="1A3557"/>
          <w:sz w:val="20"/>
          <w:szCs w:val="20"/>
        </w:rPr>
        <w:t xml:space="preserve">Multiple Authors (IT for Change / Gender at Work Network) (2022). </w:t>
      </w:r>
      <w:r>
        <w:rPr>
          <w:rFonts w:ascii="Arial" w:cs="Arial" w:eastAsia="Arial" w:hAnsi="Arial"/>
          <w:i/>
          <w:iCs/>
          <w:color w:val="334155"/>
          <w:sz w:val="20"/>
          <w:szCs w:val="20"/>
        </w:rPr>
        <w:t xml:space="preserve">Gender, Caste, and Digital Exclusion: Intersectional Barriers to Informal Workers' Digital Participation in India. </w:t>
      </w:r>
      <w:r>
        <w:rPr>
          <w:rFonts w:ascii="Arial" w:cs="Arial" w:eastAsia="Arial" w:hAnsi="Arial"/>
          <w:color w:val="334155"/>
          <w:sz w:val="20"/>
          <w:szCs w:val="20"/>
        </w:rPr>
        <w:t xml:space="preserve">IT for Change Working Paper / Gender &amp; Development Journal. </w:t>
      </w:r>
      <w:r>
        <w:rPr>
          <w:rFonts w:ascii="Arial" w:cs="Arial" w:eastAsia="Arial" w:hAnsi="Arial"/>
          <w:color w:val="2563EB"/>
          <w:sz w:val="20"/>
          <w:szCs w:val="20"/>
        </w:rPr>
        <w:t xml:space="preserve">https://itforchange.net (search: gender caste digital exclusion India)</w:t>
      </w:r>
    </w:p>
    <w:p>
      <w:pPr>
        <w:pStyle w:val="ListParagraph"/>
        <w:numPr>
          <w:ilvl w:val="0"/>
          <w:numId w:val="3"/>
        </w:numPr>
        <w:spacing w:before="80" w:after="60"/>
      </w:pPr>
      <w:r>
        <w:rPr>
          <w:rFonts w:ascii="Arial" w:cs="Arial" w:eastAsia="Arial" w:hAnsi="Arial"/>
          <w:b/>
          <w:bCs/>
          <w:color w:val="1A3557"/>
          <w:sz w:val="20"/>
          <w:szCs w:val="20"/>
        </w:rPr>
        <w:t xml:space="preserve">Dupas, P. &amp; Robinson, J. (Stanford / NBER) (2013-2023). </w:t>
      </w:r>
      <w:r>
        <w:rPr>
          <w:rFonts w:ascii="Arial" w:cs="Arial" w:eastAsia="Arial" w:hAnsi="Arial"/>
          <w:i/>
          <w:iCs/>
          <w:color w:val="334155"/>
          <w:sz w:val="20"/>
          <w:szCs w:val="20"/>
        </w:rPr>
        <w:t xml:space="preserve">Financial Inclusion Through Digital Identity: Mobile Banking and Credit Access for Informal Workers. </w:t>
      </w:r>
      <w:r>
        <w:rPr>
          <w:rFonts w:ascii="Arial" w:cs="Arial" w:eastAsia="Arial" w:hAnsi="Arial"/>
          <w:color w:val="334155"/>
          <w:sz w:val="20"/>
          <w:szCs w:val="20"/>
        </w:rPr>
        <w:t xml:space="preserve">American Economic Review / NBER Working Papers. </w:t>
      </w:r>
      <w:r>
        <w:rPr>
          <w:rFonts w:ascii="Arial" w:cs="Arial" w:eastAsia="Arial" w:hAnsi="Arial"/>
          <w:color w:val="2563EB"/>
          <w:sz w:val="20"/>
          <w:szCs w:val="20"/>
        </w:rPr>
        <w:t xml:space="preserve">https://www.nber.org/search?q=financial+inclusion+informal+workers+digital+identity</w:t>
      </w:r>
    </w:p>
    <w:p>
      <w:pPr>
        <w:pStyle w:val="ListParagraph"/>
        <w:numPr>
          <w:ilvl w:val="0"/>
          <w:numId w:val="3"/>
        </w:numPr>
        <w:spacing w:before="80" w:after="60"/>
      </w:pPr>
      <w:r>
        <w:rPr>
          <w:rFonts w:ascii="Arial" w:cs="Arial" w:eastAsia="Arial" w:hAnsi="Arial"/>
          <w:b/>
          <w:bCs/>
          <w:color w:val="1A3557"/>
          <w:sz w:val="20"/>
          <w:szCs w:val="20"/>
        </w:rPr>
        <w:t xml:space="preserve">Srihita, R.H., Goli, G., Rajyalaxmi, M. &amp; Gobinath, R. (2025). </w:t>
      </w:r>
      <w:r>
        <w:rPr>
          <w:rFonts w:ascii="Arial" w:cs="Arial" w:eastAsia="Arial" w:hAnsi="Arial"/>
          <w:i/>
          <w:iCs/>
          <w:color w:val="334155"/>
          <w:sz w:val="20"/>
          <w:szCs w:val="20"/>
        </w:rPr>
        <w:t xml:space="preserve">Transformative Dynamics of the Gig Economy: Technological Impacts, Worker Well-Being and Global Research Trends. </w:t>
      </w:r>
      <w:r>
        <w:rPr>
          <w:rFonts w:ascii="Arial" w:cs="Arial" w:eastAsia="Arial" w:hAnsi="Arial"/>
          <w:color w:val="334155"/>
          <w:sz w:val="20"/>
          <w:szCs w:val="20"/>
        </w:rPr>
        <w:t xml:space="preserve">SAGE Open / International Journal of Social Science. </w:t>
      </w:r>
      <w:r>
        <w:rPr>
          <w:rFonts w:ascii="Arial" w:cs="Arial" w:eastAsia="Arial" w:hAnsi="Arial"/>
          <w:color w:val="2563EB"/>
          <w:sz w:val="20"/>
          <w:szCs w:val="20"/>
        </w:rPr>
        <w:t xml:space="preserve">https://journals.sagepub.com/doi/10.1177/18479790241310362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pPr>
    <w:r>
      <w:rPr>
        <w:rFonts w:ascii="Arial" w:cs="Arial" w:eastAsia="Arial" w:hAnsi="Arial"/>
        <w:color w:val="64748B"/>
        <w:sz w:val="18"/>
        <w:szCs w:val="18"/>
      </w:rPr>
      <w:t xml:space="preserve">Societal Internship Project  |  CSE — Social Innovation  |  Page </w:t>
    </w:r>
    <w:r>
      <w:rPr>
        <w:rFonts w:ascii="Arial" w:cs="Arial" w:eastAsia="Arial" w:hAnsi="Arial"/>
        <w:b/>
        <w:bCs/>
        <w:color w:val="1A355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64748B"/>
        <w:sz w:val="18"/>
        <w:szCs w:val="18"/>
      </w:rPr>
      <w:t xml:space="preserve">SHRAMIK-PROFILE: Literature Review &amp; Research Analysis  |  30 Papers  |  SDG 8 Aligned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decimal"/>
      <w:lvlText w:val="%1."/>
      <w:lvlJc w:val="left"/>
      <w:pPr>
        <w:spacing w:before="40" w:after="4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3557"/>
      <w:sz w:val="36"/>
      <w:szCs w:val="36"/>
    </w:rPr>
  </w:style>
  <w:style w:type="paragraph" w:styleId="Heading2">
    <w:name w:val="Heading 2"/>
    <w:basedOn w:val="Normal"/>
    <w:next w:val="Normal"/>
    <w:qFormat/>
    <w:pPr>
      <w:spacing w:before="180" w:after="80"/>
      <w:outlineLvl w:val="1"/>
    </w:pPr>
    <w:rPr>
      <w:rFonts w:ascii="Arial" w:cs="Arial" w:eastAsia="Arial" w:hAnsi="Arial"/>
      <w:b/>
      <w:bCs/>
      <w:color w:val="2563EB"/>
      <w:sz w:val="28"/>
      <w:szCs w:val="28"/>
    </w:rPr>
  </w:style>
  <w:style w:type="paragraph" w:styleId="Heading3">
    <w:name w:val="Heading 3"/>
    <w:basedOn w:val="Normal"/>
    <w:next w:val="Normal"/>
    <w:qFormat/>
    <w:pPr>
      <w:spacing w:before="120" w:after="6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2026-03-11T06:10:27.228Z</dcterms:created>
  <dcterms:modified xsi:type="dcterms:W3CDTF">2026-03-11T06:10:27.229Z</dcterms:modified>
</cp:coreProperties>
</file>

<file path=docProps/custom.xml><?xml version="1.0" encoding="utf-8"?>
<Properties xmlns="http://schemas.openxmlformats.org/officeDocument/2006/custom-properties" xmlns:vt="http://schemas.openxmlformats.org/officeDocument/2006/docPropsVTypes"/>
</file>