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國　立　東　華　大　學</w:t>
      </w:r>
    </w:p>
    <w:p>
      <w:pPr>
        <w:jc w:val="center"/>
      </w:pPr>
      <w:r>
        <w:rPr>
          <w:b/>
          <w:sz w:val="32"/>
        </w:rPr>
        <w:t>OO學系（請填入您的系所）</w:t>
      </w:r>
    </w:p>
    <w:p>
      <w:pPr>
        <w:jc w:val="center"/>
      </w:pPr>
      <w:r>
        <w:rPr>
          <w:b/>
          <w:sz w:val="32"/>
        </w:rPr>
        <w:t>資訊科技與應用</w:t>
      </w:r>
    </w:p>
    <w:p>
      <w:pPr>
        <w:jc w:val="center"/>
      </w:pPr>
      <w:r>
        <w:rPr>
          <w:b/>
          <w:sz w:val="32"/>
        </w:rPr>
        <w:t>Word 專業排版作業</w:t>
      </w:r>
    </w:p>
    <w:p>
      <w:r>
        <w:br/>
      </w:r>
    </w:p>
    <w:p>
      <w:pPr>
        <w:jc w:val="center"/>
      </w:pPr>
      <w:r>
        <w:rPr>
          <w:b/>
        </w:rPr>
        <w:t>姓　　名： 吳裕翔（請確認）</w:t>
      </w:r>
    </w:p>
    <w:p>
      <w:pPr>
        <w:jc w:val="center"/>
      </w:pPr>
      <w:r>
        <w:rPr>
          <w:b/>
        </w:rPr>
        <w:t>學　　號： 41200000（請確認）</w:t>
      </w:r>
    </w:p>
    <w:p>
      <w:pPr>
        <w:jc w:val="center"/>
      </w:pPr>
      <w:r>
        <w:rPr>
          <w:b/>
        </w:rPr>
        <w:t>授課教師： 陳文盛 教授</w:t>
      </w:r>
    </w:p>
    <w:p>
      <w:pPr>
        <w:jc w:val="center"/>
      </w:pPr>
      <w:r>
        <w:rPr>
          <w:b/>
        </w:rPr>
        <w:t>繳交日期： 民國 115 年 3 月 9 日</w:t>
      </w:r>
    </w:p>
    <w:p>
      <w:r>
        <w:br w:type="page"/>
      </w:r>
    </w:p>
    <w:p>
      <w:pPr>
        <w:pStyle w:val="Heading1"/>
      </w:pPr>
      <w:r>
        <w:t>壹、緒論</w:t>
      </w:r>
    </w:p>
    <w:p>
      <w:r>
        <w:t>近年來，隨著智慧型手機的普及與行動網路的快速發展，社群媒體已成為大學生日常生活的重要一環。全球社群媒體使用者已逾 50 億，18–24 歲族群的日均使用時間超過 3 小時；在臺灣，Instagram、YouTube、TikTok 等平台滲透率極高。大學生正處於人格與社會化的重要階段，使用行為不僅影響社交互動，更可能關聯心理健康（如焦慮、憂鬱與主觀幸福感）。本研究旨在描繪使用現況，分析使用時數與使用類型對心理健康的關聯，並提出實務建議。</w:t>
      </w:r>
    </w:p>
    <w:p>
      <w:pPr>
        <w:pStyle w:val="Heading1"/>
      </w:pPr>
      <w:r>
        <w:t>貳、文獻探討</w:t>
      </w:r>
    </w:p>
    <w:p>
      <w:pPr>
        <w:pStyle w:val="Heading2"/>
      </w:pPr>
      <w:r>
        <w:t>（一）社群媒體使用行為之分類</w:t>
      </w:r>
    </w:p>
    <w:p>
      <w:r>
        <w:t>學者將社群媒體使用行為區分為主動使用（發文、留言、分享）、被動使用（純瀏覽）與社交比較等面向；其中，被動使用與社交比較被認為與心理健康的負向關聯較為明顯。</w:t>
      </w:r>
    </w:p>
    <w:p>
      <w:pPr>
        <w:pStyle w:val="Heading2"/>
      </w:pPr>
      <w:r>
        <w:t>（二）使用與焦慮、憂鬱之關係</w:t>
      </w:r>
    </w:p>
    <w:p>
      <w:r>
        <w:t>多項研究指出，較高的使用時間與使用頻率與焦慮、憂鬱或社交孤立感呈正相關；但影響亦與個人差異與使用情境有關。</w:t>
      </w:r>
    </w:p>
    <w:p>
      <w:pPr>
        <w:pStyle w:val="Heading1"/>
      </w:pPr>
      <w:r>
        <w:t>參、研究方法</w:t>
      </w:r>
    </w:p>
    <w:p>
      <w:pPr>
        <w:pStyle w:val="Heading2"/>
      </w:pPr>
      <w:r>
        <w:t>（一）研究設計</w:t>
      </w:r>
    </w:p>
    <w:p>
      <w:r>
        <w:t>本研究採橫斷面問卷調查法，以國立東華大學在學大學生為對象（便利抽樣），共回收有效樣本 120 份。採描述統計、相關分析與多元迴歸檢驗。</w:t>
      </w:r>
    </w:p>
    <w:p>
      <w:pPr>
        <w:jc w:val="center"/>
      </w:pPr>
      <w:r>
        <w:t>圖 1　研究架構圖（請於 Word 以「插入標號」重新建立正式圖標）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4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表 1　各研究方法比較表（請於 Word 以「插入標號」重新建立正式表標）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研究方法</w:t>
            </w:r>
          </w:p>
        </w:tc>
        <w:tc>
          <w:tcPr>
            <w:tcW w:type="dxa" w:w="3009"/>
          </w:tcPr>
          <w:p>
            <w:r>
              <w:t>優點</w:t>
            </w:r>
          </w:p>
        </w:tc>
        <w:tc>
          <w:tcPr>
            <w:tcW w:type="dxa" w:w="3009"/>
          </w:tcPr>
          <w:p>
            <w:r>
              <w:t>限制</w:t>
            </w:r>
          </w:p>
        </w:tc>
      </w:tr>
      <w:tr>
        <w:tc>
          <w:tcPr>
            <w:tcW w:type="dxa" w:w="3009"/>
          </w:tcPr>
          <w:p>
            <w:r>
              <w:t>問卷調查法</w:t>
            </w:r>
          </w:p>
        </w:tc>
        <w:tc>
          <w:tcPr>
            <w:tcW w:type="dxa" w:w="3009"/>
          </w:tcPr>
          <w:p>
            <w:r>
              <w:t>大量蒐集量化資料、可統計分析</w:t>
            </w:r>
          </w:p>
        </w:tc>
        <w:tc>
          <w:tcPr>
            <w:tcW w:type="dxa" w:w="3009"/>
          </w:tcPr>
          <w:p>
            <w:r>
              <w:t>樣本代表性、填答誠實性</w:t>
            </w:r>
          </w:p>
        </w:tc>
      </w:tr>
      <w:tr>
        <w:tc>
          <w:tcPr>
            <w:tcW w:type="dxa" w:w="3009"/>
          </w:tcPr>
          <w:p>
            <w:r>
              <w:t>深度訪談法</w:t>
            </w:r>
          </w:p>
        </w:tc>
        <w:tc>
          <w:tcPr>
            <w:tcW w:type="dxa" w:w="3009"/>
          </w:tcPr>
          <w:p>
            <w:r>
              <w:t>獲得豐富主觀經驗與脈絡</w:t>
            </w:r>
          </w:p>
        </w:tc>
        <w:tc>
          <w:tcPr>
            <w:tcW w:type="dxa" w:w="3009"/>
          </w:tcPr>
          <w:p>
            <w:r>
              <w:t>耗時、難以類化</w:t>
            </w:r>
          </w:p>
        </w:tc>
      </w:tr>
      <w:tr>
        <w:tc>
          <w:tcPr>
            <w:tcW w:type="dxa" w:w="3009"/>
          </w:tcPr>
          <w:p>
            <w:r>
              <w:t>準實驗設計</w:t>
            </w:r>
          </w:p>
        </w:tc>
        <w:tc>
          <w:tcPr>
            <w:tcW w:type="dxa" w:w="3009"/>
          </w:tcPr>
          <w:p>
            <w:r>
              <w:t>可控制變數、探索因果</w:t>
            </w:r>
          </w:p>
        </w:tc>
        <w:tc>
          <w:tcPr>
            <w:tcW w:type="dxa" w:w="3009"/>
          </w:tcPr>
          <w:p>
            <w:r>
              <w:t>難以完全控制外在因素</w:t>
            </w:r>
          </w:p>
        </w:tc>
      </w:tr>
    </w:tbl>
    <w:p>
      <w:pPr>
        <w:pStyle w:val="Heading2"/>
      </w:pPr>
      <w:r>
        <w:t>（二）研究對象與樣本</w:t>
      </w:r>
    </w:p>
    <w:p>
      <w:r>
        <w:t>共回收 120 份有效樣本，男性 62 人（51.7%）、女性 54 人（45.0%）、其他 4 人（3.3%），平均年齡 20.1 歲（SD=1.3）。</w:t>
      </w:r>
    </w:p>
    <w:p>
      <w:pPr>
        <w:jc w:val="center"/>
      </w:pPr>
      <w:r>
        <w:t>表 2　受測者基本資料統計表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性別</w:t>
            </w:r>
          </w:p>
        </w:tc>
        <w:tc>
          <w:tcPr>
            <w:tcW w:type="dxa" w:w="2256"/>
          </w:tcPr>
          <w:p>
            <w:r>
              <w:t>人數</w:t>
            </w:r>
          </w:p>
        </w:tc>
        <w:tc>
          <w:tcPr>
            <w:tcW w:type="dxa" w:w="2256"/>
          </w:tcPr>
          <w:p>
            <w:r>
              <w:t>百分比</w:t>
            </w:r>
          </w:p>
        </w:tc>
        <w:tc>
          <w:tcPr>
            <w:tcW w:type="dxa" w:w="2256"/>
          </w:tcPr>
          <w:p>
            <w:r>
              <w:t>平均年齡</w:t>
            </w:r>
          </w:p>
        </w:tc>
      </w:tr>
      <w:tr>
        <w:tc>
          <w:tcPr>
            <w:tcW w:type="dxa" w:w="2256"/>
          </w:tcPr>
          <w:p>
            <w:r>
              <w:t>男</w:t>
            </w:r>
          </w:p>
        </w:tc>
        <w:tc>
          <w:tcPr>
            <w:tcW w:type="dxa" w:w="2256"/>
          </w:tcPr>
          <w:p>
            <w:r>
              <w:t>62</w:t>
            </w:r>
          </w:p>
        </w:tc>
        <w:tc>
          <w:tcPr>
            <w:tcW w:type="dxa" w:w="2256"/>
          </w:tcPr>
          <w:p>
            <w:r>
              <w:t>51.7%</w:t>
            </w:r>
          </w:p>
        </w:tc>
        <w:tc>
          <w:tcPr>
            <w:tcW w:type="dxa" w:w="2256"/>
          </w:tcPr>
          <w:p>
            <w:r>
              <w:t>20.3</w:t>
            </w:r>
          </w:p>
        </w:tc>
      </w:tr>
      <w:tr>
        <w:tc>
          <w:tcPr>
            <w:tcW w:type="dxa" w:w="2256"/>
          </w:tcPr>
          <w:p>
            <w:r>
              <w:t>女</w:t>
            </w:r>
          </w:p>
        </w:tc>
        <w:tc>
          <w:tcPr>
            <w:tcW w:type="dxa" w:w="2256"/>
          </w:tcPr>
          <w:p>
            <w:r>
              <w:t>54</w:t>
            </w:r>
          </w:p>
        </w:tc>
        <w:tc>
          <w:tcPr>
            <w:tcW w:type="dxa" w:w="2256"/>
          </w:tcPr>
          <w:p>
            <w:r>
              <w:t>45.0%</w:t>
            </w:r>
          </w:p>
        </w:tc>
        <w:tc>
          <w:tcPr>
            <w:tcW w:type="dxa" w:w="2256"/>
          </w:tcPr>
          <w:p>
            <w:r>
              <w:t>19.8</w:t>
            </w:r>
          </w:p>
        </w:tc>
      </w:tr>
      <w:tr>
        <w:tc>
          <w:tcPr>
            <w:tcW w:type="dxa" w:w="2256"/>
          </w:tcPr>
          <w:p>
            <w:r>
              <w:t>其他</w:t>
            </w:r>
          </w:p>
        </w:tc>
        <w:tc>
          <w:tcPr>
            <w:tcW w:type="dxa" w:w="2256"/>
          </w:tcPr>
          <w:p>
            <w:r>
              <w:t>4</w:t>
            </w:r>
          </w:p>
        </w:tc>
        <w:tc>
          <w:tcPr>
            <w:tcW w:type="dxa" w:w="2256"/>
          </w:tcPr>
          <w:p>
            <w:r>
              <w:t>3.3%</w:t>
            </w:r>
          </w:p>
        </w:tc>
        <w:tc>
          <w:tcPr>
            <w:tcW w:type="dxa" w:w="2256"/>
          </w:tcPr>
          <w:p>
            <w:r>
              <w:t>21.1</w:t>
            </w:r>
          </w:p>
        </w:tc>
      </w:tr>
      <w:tr>
        <w:tc>
          <w:tcPr>
            <w:tcW w:type="dxa" w:w="2256"/>
          </w:tcPr>
          <w:p>
            <w:r>
              <w:t>合計</w:t>
            </w:r>
          </w:p>
        </w:tc>
        <w:tc>
          <w:tcPr>
            <w:tcW w:type="dxa" w:w="2256"/>
          </w:tcPr>
          <w:p>
            <w:r>
              <w:t>120</w:t>
            </w:r>
          </w:p>
        </w:tc>
        <w:tc>
          <w:tcPr>
            <w:tcW w:type="dxa" w:w="2256"/>
          </w:tcPr>
          <w:p>
            <w:r>
              <w:t>100%</w:t>
            </w:r>
          </w:p>
        </w:tc>
        <w:tc>
          <w:tcPr>
            <w:tcW w:type="dxa" w:w="2256"/>
          </w:tcPr>
          <w:p>
            <w:r>
              <w:t>20.1</w:t>
            </w:r>
          </w:p>
        </w:tc>
      </w:tr>
    </w:tbl>
    <w:p>
      <w:pPr>
        <w:pStyle w:val="Heading2"/>
      </w:pPr>
      <w:r>
        <w:t>（三）各平台使用情形</w:t>
      </w:r>
    </w:p>
    <w:p>
      <w:r>
        <w:t>整體而言，YouTube 的使用人數比例最高（95.0%），Instagram 的每日平均使用時數最高（2.4 小時），TikTok 與 Facebook 次之。</w:t>
      </w:r>
    </w:p>
    <w:p>
      <w:pPr>
        <w:jc w:val="center"/>
      </w:pPr>
      <w:r>
        <w:t>表 3　各平台平均使用時數比較表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平台名稱</w:t>
            </w:r>
          </w:p>
        </w:tc>
        <w:tc>
          <w:tcPr>
            <w:tcW w:type="dxa" w:w="2256"/>
          </w:tcPr>
          <w:p>
            <w:r>
              <w:t>平均時數（時/天）</w:t>
            </w:r>
          </w:p>
        </w:tc>
        <w:tc>
          <w:tcPr>
            <w:tcW w:type="dxa" w:w="2256"/>
          </w:tcPr>
          <w:p>
            <w:r>
              <w:t>主要使用目的</w:t>
            </w:r>
          </w:p>
        </w:tc>
        <w:tc>
          <w:tcPr>
            <w:tcW w:type="dxa" w:w="2256"/>
          </w:tcPr>
          <w:p>
            <w:r>
              <w:t>使用人數比例</w:t>
            </w:r>
          </w:p>
        </w:tc>
      </w:tr>
      <w:tr>
        <w:tc>
          <w:tcPr>
            <w:tcW w:type="dxa" w:w="2256"/>
          </w:tcPr>
          <w:p>
            <w:r>
              <w:t>Instagram</w:t>
            </w:r>
          </w:p>
        </w:tc>
        <w:tc>
          <w:tcPr>
            <w:tcW w:type="dxa" w:w="2256"/>
          </w:tcPr>
          <w:p>
            <w:r>
              <w:t>2.4</w:t>
            </w:r>
          </w:p>
        </w:tc>
        <w:tc>
          <w:tcPr>
            <w:tcW w:type="dxa" w:w="2256"/>
          </w:tcPr>
          <w:p>
            <w:r>
              <w:t>瀏覽圖片/短影音</w:t>
            </w:r>
          </w:p>
        </w:tc>
        <w:tc>
          <w:tcPr>
            <w:tcW w:type="dxa" w:w="2256"/>
          </w:tcPr>
          <w:p>
            <w:r>
              <w:t>88.3%</w:t>
            </w:r>
          </w:p>
        </w:tc>
      </w:tr>
      <w:tr>
        <w:tc>
          <w:tcPr>
            <w:tcW w:type="dxa" w:w="2256"/>
          </w:tcPr>
          <w:p>
            <w:r>
              <w:t>YouTube</w:t>
            </w:r>
          </w:p>
        </w:tc>
        <w:tc>
          <w:tcPr>
            <w:tcW w:type="dxa" w:w="2256"/>
          </w:tcPr>
          <w:p>
            <w:r>
              <w:t>2.1</w:t>
            </w:r>
          </w:p>
        </w:tc>
        <w:tc>
          <w:tcPr>
            <w:tcW w:type="dxa" w:w="2256"/>
          </w:tcPr>
          <w:p>
            <w:r>
              <w:t>觀看影片/學習</w:t>
            </w:r>
          </w:p>
        </w:tc>
        <w:tc>
          <w:tcPr>
            <w:tcW w:type="dxa" w:w="2256"/>
          </w:tcPr>
          <w:p>
            <w:r>
              <w:t>95.0%</w:t>
            </w:r>
          </w:p>
        </w:tc>
      </w:tr>
      <w:tr>
        <w:tc>
          <w:tcPr>
            <w:tcW w:type="dxa" w:w="2256"/>
          </w:tcPr>
          <w:p>
            <w:r>
              <w:t>TikTok</w:t>
            </w:r>
          </w:p>
        </w:tc>
        <w:tc>
          <w:tcPr>
            <w:tcW w:type="dxa" w:w="2256"/>
          </w:tcPr>
          <w:p>
            <w:r>
              <w:t>1.8</w:t>
            </w:r>
          </w:p>
        </w:tc>
        <w:tc>
          <w:tcPr>
            <w:tcW w:type="dxa" w:w="2256"/>
          </w:tcPr>
          <w:p>
            <w:r>
              <w:t>短影音娛樂</w:t>
            </w:r>
          </w:p>
        </w:tc>
        <w:tc>
          <w:tcPr>
            <w:tcW w:type="dxa" w:w="2256"/>
          </w:tcPr>
          <w:p>
            <w:r>
              <w:t>72.5%</w:t>
            </w:r>
          </w:p>
        </w:tc>
      </w:tr>
      <w:tr>
        <w:tc>
          <w:tcPr>
            <w:tcW w:type="dxa" w:w="2256"/>
          </w:tcPr>
          <w:p>
            <w:r>
              <w:t>Facebook</w:t>
            </w:r>
          </w:p>
        </w:tc>
        <w:tc>
          <w:tcPr>
            <w:tcW w:type="dxa" w:w="2256"/>
          </w:tcPr>
          <w:p>
            <w:r>
              <w:t>0.9</w:t>
            </w:r>
          </w:p>
        </w:tc>
        <w:tc>
          <w:tcPr>
            <w:tcW w:type="dxa" w:w="2256"/>
          </w:tcPr>
          <w:p>
            <w:r>
              <w:t>社交聯繫</w:t>
            </w:r>
          </w:p>
        </w:tc>
        <w:tc>
          <w:tcPr>
            <w:tcW w:type="dxa" w:w="2256"/>
          </w:tcPr>
          <w:p>
            <w:r>
              <w:t>61.7%</w:t>
            </w:r>
          </w:p>
        </w:tc>
      </w:tr>
      <w:tr>
        <w:tc>
          <w:tcPr>
            <w:tcW w:type="dxa" w:w="2256"/>
          </w:tcPr>
          <w:p>
            <w:r>
              <w:t>Twitter/X</w:t>
            </w:r>
          </w:p>
        </w:tc>
        <w:tc>
          <w:tcPr>
            <w:tcW w:type="dxa" w:w="2256"/>
          </w:tcPr>
          <w:p>
            <w:r>
              <w:t>0.6</w:t>
            </w:r>
          </w:p>
        </w:tc>
        <w:tc>
          <w:tcPr>
            <w:tcW w:type="dxa" w:w="2256"/>
          </w:tcPr>
          <w:p>
            <w:r>
              <w:t>新聞資訊</w:t>
            </w:r>
          </w:p>
        </w:tc>
        <w:tc>
          <w:tcPr>
            <w:tcW w:type="dxa" w:w="2256"/>
          </w:tcPr>
          <w:p>
            <w:r>
              <w:t>43.3%</w:t>
            </w:r>
          </w:p>
        </w:tc>
      </w:tr>
    </w:tbl>
    <w:p>
      <w:pPr>
        <w:pStyle w:val="Heading2"/>
      </w:pPr>
      <w:r>
        <w:t>（四）研究工具</w:t>
      </w:r>
    </w:p>
    <w:p>
      <w:r>
        <w:t>以 GAD-7 評估焦慮程度（內部一致性 Cronbach’s α = .88）。</w:t>
      </w:r>
    </w:p>
    <w:p>
      <w:pPr>
        <w:jc w:val="center"/>
      </w:pPr>
      <w:r>
        <w:t>表 4　GAD-7 評分標準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分數範圍</w:t>
            </w:r>
          </w:p>
        </w:tc>
        <w:tc>
          <w:tcPr>
            <w:tcW w:type="dxa" w:w="3009"/>
          </w:tcPr>
          <w:p>
            <w:r>
              <w:t>心理健康程度</w:t>
            </w:r>
          </w:p>
        </w:tc>
        <w:tc>
          <w:tcPr>
            <w:tcW w:type="dxa" w:w="3009"/>
          </w:tcPr>
          <w:p>
            <w:r>
              <w:t>建議處置</w:t>
            </w:r>
          </w:p>
        </w:tc>
      </w:tr>
      <w:tr>
        <w:tc>
          <w:tcPr>
            <w:tcW w:type="dxa" w:w="3009"/>
          </w:tcPr>
          <w:p>
            <w:r>
              <w:t>0–4 分</w:t>
            </w:r>
          </w:p>
        </w:tc>
        <w:tc>
          <w:tcPr>
            <w:tcW w:type="dxa" w:w="3009"/>
          </w:tcPr>
          <w:p>
            <w:r>
              <w:t>無焦慮/症狀輕微</w:t>
            </w:r>
          </w:p>
        </w:tc>
        <w:tc>
          <w:tcPr>
            <w:tcW w:type="dxa" w:w="3009"/>
          </w:tcPr>
          <w:p>
            <w:r>
              <w:t>維持健康作息即可</w:t>
            </w:r>
          </w:p>
        </w:tc>
      </w:tr>
      <w:tr>
        <w:tc>
          <w:tcPr>
            <w:tcW w:type="dxa" w:w="3009"/>
          </w:tcPr>
          <w:p>
            <w:r>
              <w:t>5–9 分</w:t>
            </w:r>
          </w:p>
        </w:tc>
        <w:tc>
          <w:tcPr>
            <w:tcW w:type="dxa" w:w="3009"/>
          </w:tcPr>
          <w:p>
            <w:r>
              <w:t>輕度焦慮</w:t>
            </w:r>
          </w:p>
        </w:tc>
        <w:tc>
          <w:tcPr>
            <w:tcW w:type="dxa" w:w="3009"/>
          </w:tcPr>
          <w:p>
            <w:r>
              <w:t>自我調節，注意睡眠品質</w:t>
            </w:r>
          </w:p>
        </w:tc>
      </w:tr>
      <w:tr>
        <w:tc>
          <w:tcPr>
            <w:tcW w:type="dxa" w:w="3009"/>
          </w:tcPr>
          <w:p>
            <w:r>
              <w:t>10–14 分</w:t>
            </w:r>
          </w:p>
        </w:tc>
        <w:tc>
          <w:tcPr>
            <w:tcW w:type="dxa" w:w="3009"/>
          </w:tcPr>
          <w:p>
            <w:r>
              <w:t>中度焦慮</w:t>
            </w:r>
          </w:p>
        </w:tc>
        <w:tc>
          <w:tcPr>
            <w:tcW w:type="dxa" w:w="3009"/>
          </w:tcPr>
          <w:p>
            <w:r>
              <w:t>建議尋求輔導諮商協助</w:t>
            </w:r>
          </w:p>
        </w:tc>
      </w:tr>
      <w:tr>
        <w:tc>
          <w:tcPr>
            <w:tcW w:type="dxa" w:w="3009"/>
          </w:tcPr>
          <w:p>
            <w:r>
              <w:t>15–21 分</w:t>
            </w:r>
          </w:p>
        </w:tc>
        <w:tc>
          <w:tcPr>
            <w:tcW w:type="dxa" w:w="3009"/>
          </w:tcPr>
          <w:p>
            <w:r>
              <w:t>重度焦慮</w:t>
            </w:r>
          </w:p>
        </w:tc>
        <w:tc>
          <w:tcPr>
            <w:tcW w:type="dxa" w:w="3009"/>
          </w:tcPr>
          <w:p>
            <w:r>
              <w:t>強烈建議就醫或接受心理治療</w:t>
            </w:r>
          </w:p>
        </w:tc>
      </w:tr>
    </w:tbl>
    <w:p>
      <w:pPr>
        <w:pStyle w:val="Heading1"/>
      </w:pPr>
      <w:r>
        <w:t>肆、結果與討論</w:t>
      </w:r>
    </w:p>
    <w:p>
      <w:pPr>
        <w:pStyle w:val="Heading2"/>
      </w:pPr>
      <w:r>
        <w:t>（一）社群媒體使用時數分布</w:t>
      </w:r>
    </w:p>
    <w:p>
      <w:r>
        <w:t>受測者每日社群媒體總使用時數呈右偏分布，其中 2–4 小時占 38.3%、4–6 小時占 27.5%、超過 6 小時占 15.0%。</w:t>
      </w:r>
    </w:p>
    <w:p>
      <w:pPr>
        <w:jc w:val="center"/>
      </w:pPr>
      <w:r>
        <w:t>圖 2　社群媒體每日使用時數分布（依文內百分比繪製）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usage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（二）使用行為與焦慮程度之相關</w:t>
      </w:r>
    </w:p>
    <w:p>
      <w:r>
        <w:t>每日總使用時數與 GAD-7 焦慮分數呈正相關（r ≈ .38），被動瀏覽對焦慮的預測力高於主動互動。下圖為示意散布圖與趨勢線。</w:t>
      </w:r>
    </w:p>
    <w:p>
      <w:pPr>
        <w:jc w:val="center"/>
      </w:pPr>
      <w:r>
        <w:t>圖 3　受測者焦慮程度與使用時數關係（示意圖）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伍、結論與建議</w:t>
      </w:r>
    </w:p>
    <w:p>
      <w:r>
        <w:t>本研究顯示，使用時數越長、被動使用比例越高者，其焦慮程度越高；此效應在女性族群較為顯著。建議大學生設定每日使用上限、優先採取有目的性的主動使用、降低比較性瀏覽，並在焦慮症狀持續時尋求專業協助。</w:t>
      </w:r>
    </w:p>
    <w:p>
      <w:pPr>
        <w:pStyle w:val="Heading1"/>
      </w:pPr>
      <w:r>
        <w:t>陸、參考文獻</w:t>
      </w:r>
    </w:p>
    <w:p>
      <w:pPr/>
      <w:r>
        <w:t>DataReportal. (2024). Digital 2024: Global overview report. https://datareportal.com/reports/digital-2024-global-overview-report</w:t>
      </w:r>
    </w:p>
    <w:p>
      <w:pPr/>
      <w:r>
        <w:t>Fardouly, J., &amp; Vartanian, L. R. (2015). Negative comparisons about one's appearance mediate the relationship between Facebook usage and body image concerns. Body Image, 12, 82–88. https://doi.org/10.1016/j.bodyim.2014.10.004</w:t>
      </w:r>
    </w:p>
    <w:p>
      <w:pPr/>
      <w:r>
        <w:t>Primack, B. A., et al. (2017). Social media use and perceived social isolation among young adults in the U.S. American Journal of Preventive Medicine, 53(1), 1–8. https://doi.org/10.1016/j.amepre.2017.01.010</w:t>
      </w:r>
    </w:p>
    <w:p>
      <w:pPr/>
      <w:r>
        <w:t>Twenge, J. M., et al. (2018). Increases in depressive symptoms ... Clinical Psychological Science, 6(1), 3–17. https://doi.org/10.1177/2167702617723376</w:t>
      </w:r>
    </w:p>
    <w:p>
      <w:pPr/>
      <w:r>
        <w:t>Vannucci, A., Flannery, K. M., &amp; Ohannessian, C. M. (2017). Social media use and anxiety in emerging adults. Journal of Affective Disorders, 207, 163–166. https://doi.org/10.1016/j.jad.2016.08.040</w:t>
      </w:r>
    </w:p>
    <w:p>
      <w:pPr/>
      <w:r>
        <w:t>Verduyn, P., et al. (2015). Passive Facebook usage undermines affective well-being ... Journal of Experimental Psychology: General, 144(2), 480–488. https://doi.org/10.1037/xge0000057</w:t>
      </w:r>
    </w:p>
    <w:p>
      <w:pPr/>
      <w:r>
        <w:t>林佳慧、張文昌（2021）。Instagram 使用與大學生身體意象之關係研究。中華心理衛生學刊，34(3)，211–236。</w:t>
      </w:r>
    </w:p>
    <w:p>
      <w:pPr/>
      <w:r>
        <w:t>陳志明、李文華（2022）。人工智慧在高等教育之應用與展望。教育科技與學習，15(2)，45–68。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rFonts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  <w:rFonts w:eastAsia="微軟正黑體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  <w:rFonts w:eastAsia="微軟正黑體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rFonts w:eastAsia="微軟正黑體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