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sh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keepNext/>
        <w:spacing w:before="0" w:after="20"/>
        <w:pBdr>
          <w:bottom w:val="single" w:sz="10" w:space="4" w:color="0F766E"/>
        </w:pBdr>
      </w:pPr>
      <w:r>
        <w:rPr>
          <w:rFonts w:ascii="微软雅黑" w:hAnsi="微软雅黑" w:eastAsia="微软雅黑"/>
          <w:b/>
          <w:color w:val="C2711A"/>
          <w:sz w:val="16"/>
        </w:rPr>
        <w:t xml:space="preserve">00  /  </w:t>
      </w:r>
      <w:r>
        <w:rPr>
          <w:rFonts w:ascii="微软雅黑" w:hAnsi="微软雅黑" w:eastAsia="微软雅黑"/>
          <w:b/>
          <w:color w:val="122033"/>
          <w:sz w:val="36"/>
        </w:rPr>
        <w:t>一页纸结论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i/>
          <w:color w:val="1F2937"/>
          <w:sz w:val="18"/>
        </w:rPr>
        <w:t>对应作业要求：领域地图总览 + 核心判断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22"/>
      </w:tblGrid>
      <w:tr>
        <w:tc>
          <w:tcPr>
            <w:tcW w:type="dxa" w:w="9922"/>
            <w:shd w:val="clear" w:color="auto" w:fill="E6F4F1"/>
            <w:tcBorders>
              <w:left w:val="single" w:sz="18" w:color="0F766E"/>
              <w:top w:val="nil"/>
              <w:bottom w:val="nil"/>
              <w:right w:val="nil"/>
            </w:tcBorders>
            <w:tcMar>
              <w:top w:w="70" w:type="dxa"/>
              <w:start w:w="130" w:type="dxa"/>
              <w:bottom w:w="70" w:type="dxa"/>
              <w:end w:w="11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7"/>
              </w:rPr>
              <w:t>一句话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AI 模型构建，是在数据、算力、时延、成本、合规与安全的约束下，把问题变成</w:t>
            </w:r>
            <w:r>
              <w:rPr>
                <w:rFonts w:ascii="Times New Roman" w:hAnsi="Times New Roman" w:eastAsia="宋体"/>
                <w:b/>
                <w:color w:val="1F2937"/>
                <w:sz w:val="17"/>
              </w:rPr>
              <w:t>可复现、可评测、可部署</w:t>
            </w: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的模型系统。模型只是链条中的一环；真正的分水岭是数据、目标、评测与系统。</w:t>
            </w:r>
          </w:p>
        </w:tc>
      </w:tr>
    </w:tbl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omain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微软雅黑" w:hAnsi="微软雅黑" w:eastAsia="微软雅黑"/>
          <w:b/>
          <w:color w:val="122033"/>
          <w:sz w:val="15"/>
        </w:rPr>
        <w:t>图 1  领域地图：七个阶段、三层支撑、全栈约束</w:t>
      </w:r>
    </w:p>
    <w:p>
      <w:pPr>
        <w:spacing w:after="60"/>
        <w:jc w:val="center"/>
      </w:pPr>
      <w:r>
        <w:rPr>
          <w:rFonts w:ascii="微软雅黑" w:hAnsi="微软雅黑" w:eastAsia="微软雅黑"/>
          <w:color w:val="6B7280"/>
          <w:sz w:val="14"/>
        </w:rPr>
        <w:t>来源：作者绘制；综合 [C01]、[C02]、[P05]、[P63]。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五个判断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判断 1｜约束下的多目标优化。</w:t>
      </w:r>
      <w:r>
        <w:rPr>
          <w:rFonts w:ascii="Times New Roman" w:hAnsi="Times New Roman" w:eastAsia="宋体"/>
          <w:b w:val="0"/>
          <w:color w:val="1F2937"/>
          <w:sz w:val="17"/>
        </w:rPr>
        <w:t xml:space="preserve"> 能力、成本、可控性三角；更大不是默认答案。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判断 2｜瓶颈转向数据、目标、评测、系统。</w:t>
      </w:r>
      <w:r>
        <w:rPr>
          <w:rFonts w:ascii="Times New Roman" w:hAnsi="Times New Roman" w:eastAsia="宋体"/>
          <w:b w:val="0"/>
          <w:color w:val="1F2937"/>
          <w:sz w:val="17"/>
        </w:rPr>
        <w:t xml:space="preserve"> 架构积木趋稳，差异在数据与后训练。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判断 3｜工具链分层。</w:t>
      </w:r>
      <w:r>
        <w:rPr>
          <w:rFonts w:ascii="Times New Roman" w:hAnsi="Times New Roman" w:eastAsia="宋体"/>
          <w:b w:val="0"/>
          <w:color w:val="1F2937"/>
          <w:sz w:val="17"/>
        </w:rPr>
        <w:t xml:space="preserve"> 框架/训练/微调/推理/应用各司其职。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判断 4｜课程按能力链组织。</w:t>
      </w:r>
      <w:r>
        <w:rPr>
          <w:rFonts w:ascii="Times New Roman" w:hAnsi="Times New Roman" w:eastAsia="宋体"/>
          <w:b w:val="0"/>
          <w:color w:val="1F2937"/>
          <w:sz w:val="17"/>
        </w:rPr>
        <w:t xml:space="preserve"> 不按课名堆叠，用项目验收。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判断 5｜可复现性是分水岭。</w:t>
      </w:r>
      <w:r>
        <w:rPr>
          <w:rFonts w:ascii="Times New Roman" w:hAnsi="Times New Roman" w:eastAsia="宋体"/>
          <w:b w:val="0"/>
          <w:color w:val="1F2937"/>
          <w:sz w:val="17"/>
        </w:rPr>
        <w:t xml:space="preserve"> 配置、种子、数据版本、评测脚本缺一不可。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三种构建深度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587"/>
        <w:gridCol w:w="1984"/>
        <w:gridCol w:w="1984"/>
        <w:gridCol w:w="1984"/>
        <w:gridCol w:w="1870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深度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典型做法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数据/算力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适合谁</w:t>
            </w:r>
          </w:p>
        </w:tc>
        <w:tc>
          <w:tcPr>
            <w:tcW w:type="dxa" w:w="187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主要风险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调用/适配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提示、RAG、工具调用、轻量微调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领域文档；单卡/API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多数应用团队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把“集成”当“构建”；受基座限制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微调/对齐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SFT、LoRA/QLoRA、DPO、蒸馏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千—十万样本；单卡—多卡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有领域数据与标注能力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过拟合、能力回退、评测不足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预训练/从零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数据清洗、Tokenizer、Transformer、分布式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十亿—万亿 token；多机多卡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研究/头部企业/教学实验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成本高、周期长、系统风险大</w:t>
            </w:r>
          </w:p>
        </w:tc>
      </w:tr>
    </w:tbl>
    <w:p>
      <w:pPr>
        <w:keepNext/>
        <w:pageBreakBefore/>
        <w:spacing w:before="0" w:after="20"/>
        <w:pBdr>
          <w:bottom w:val="single" w:sz="10" w:space="4" w:color="0F766E"/>
        </w:pBdr>
      </w:pPr>
      <w:r>
        <w:rPr>
          <w:rFonts w:ascii="微软雅黑" w:hAnsi="微软雅黑" w:eastAsia="微软雅黑"/>
          <w:b/>
          <w:color w:val="C2711A"/>
          <w:sz w:val="16"/>
        </w:rPr>
        <w:t xml:space="preserve">01  /  </w:t>
      </w:r>
      <w:r>
        <w:rPr>
          <w:rFonts w:ascii="微软雅黑" w:hAnsi="微软雅黑" w:eastAsia="微软雅黑"/>
          <w:b/>
          <w:color w:val="122033"/>
          <w:sz w:val="36"/>
        </w:rPr>
        <w:t>问题与任务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i/>
          <w:color w:val="1F2937"/>
          <w:sz w:val="18"/>
        </w:rPr>
        <w:t>对应作业要求 1：主要问题与典型任务；一个典型任务如何完成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五类问题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587"/>
        <w:gridCol w:w="1984"/>
        <w:gridCol w:w="1984"/>
        <w:gridCol w:w="1984"/>
        <w:gridCol w:w="1870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一句话定义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输入 → 输出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主指标</w:t>
            </w:r>
          </w:p>
        </w:tc>
        <w:tc>
          <w:tcPr>
            <w:tcW w:type="dxa" w:w="187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典型任务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预测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从输入预测标签/数值/结构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图/文/表 → 类别、数值、框、掩码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准确率、F1、mAP、IoU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分类、检测、分割、评分、诊断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生成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在条件下产生新样本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提示/图/音 → 文本、图像、音频、代码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困惑度、FID、人工偏好、通过率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翻译、摘要、对话、文生图、代码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表征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把样本映射为可比较向量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文/图/行为 → 向量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Recall@k、NDCG、线性探测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检索、推荐、聚类、去重、RAG 召回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决策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在环境中选动作最大化长期回报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状态 → 动作/策略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回报、成功率、样本效率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机器人、游戏、调度、智能体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对齐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让行为符合人类偏好与规范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指令/对话 → 回复/拒答/澄清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有用性、诚实性、无害性、胜率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指令跟随、安全、价值观校准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六个典型任务卡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587"/>
        <w:gridCol w:w="1984"/>
        <w:gridCol w:w="1984"/>
        <w:gridCol w:w="1984"/>
        <w:gridCol w:w="1870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输入 → 输出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主指标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强基线</w:t>
            </w:r>
          </w:p>
        </w:tc>
        <w:tc>
          <w:tcPr>
            <w:tcW w:type="dxa" w:w="187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最常见坑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图像分类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图像 → 类别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Top-1/5、混淆矩阵、校准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ResNet / ViT 微调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类别不平衡；同源泄漏；只看总体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目标检测/分割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图像 → 框/掩码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mAP、IoU、小目标召回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YOLO/Faster R-CNN、U-Net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标注不一致；后处理敏感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文本分类/抽取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文本 → 标签/实体/关系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F1、精确/召回、一致性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TF-IDF+线性、BERT 微调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标签定义模糊；边界不一致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翻译/摘要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源文本 → 目标文本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BLEU/COMET、ROUGE、人评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Transformer、LLM few-shot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术语不一致；幻觉；指标与人类不符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检索/RAG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问题 → 片段+答案+引用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Recall@k、正确率、引用准确率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BM25、embedding+ANN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切块不当；召回与生成脱节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代码生成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描述/上下文 → 代码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pass@k、编译率、测试通过率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代码 LLM、仓库级微调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训练泄漏；只测短函数；忽略许可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一个典型任务如何完成：领域文档问答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1. </w:t>
      </w:r>
      <w:r>
        <w:rPr>
          <w:rFonts w:ascii="Times New Roman" w:hAnsi="Times New Roman" w:eastAsia="宋体"/>
          <w:b/>
          <w:color w:val="1F2937"/>
          <w:sz w:val="17"/>
        </w:rPr>
        <w:t>任务卡</w:t>
      </w:r>
      <w:r>
        <w:rPr>
          <w:rFonts w:ascii="Times New Roman" w:hAnsi="Times New Roman" w:eastAsia="宋体"/>
          <w:b w:val="0"/>
          <w:color w:val="1F2937"/>
          <w:sz w:val="17"/>
        </w:rPr>
        <w:t>：使用者、输入、输出、成功标准、约束、基线、失败代价。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2. </w:t>
      </w:r>
      <w:r>
        <w:rPr>
          <w:rFonts w:ascii="Times New Roman" w:hAnsi="Times New Roman" w:eastAsia="宋体"/>
          <w:b/>
          <w:color w:val="1F2937"/>
          <w:sz w:val="17"/>
        </w:rPr>
        <w:t>数据</w:t>
      </w:r>
      <w:r>
        <w:rPr>
          <w:rFonts w:ascii="Times New Roman" w:hAnsi="Times New Roman" w:eastAsia="宋体"/>
          <w:b w:val="0"/>
          <w:color w:val="1F2937"/>
          <w:sz w:val="17"/>
        </w:rPr>
        <w:t>：PDF 解析保留页码/章节；按语义切块 300—600 字；300—500 条真实问答；构造“无答案”负样本。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3. </w:t>
      </w:r>
      <w:r>
        <w:rPr>
          <w:rFonts w:ascii="Times New Roman" w:hAnsi="Times New Roman" w:eastAsia="宋体"/>
          <w:b/>
          <w:color w:val="1F2937"/>
          <w:sz w:val="17"/>
        </w:rPr>
        <w:t>基线</w:t>
      </w:r>
      <w:r>
        <w:rPr>
          <w:rFonts w:ascii="Times New Roman" w:hAnsi="Times New Roman" w:eastAsia="宋体"/>
          <w:b w:val="0"/>
          <w:color w:val="1F2937"/>
          <w:sz w:val="17"/>
        </w:rPr>
        <w:t>：BM25+模板；闭卷 LLM；RAG（embedding+重排+LLM）。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4. </w:t>
      </w:r>
      <w:r>
        <w:rPr>
          <w:rFonts w:ascii="Times New Roman" w:hAnsi="Times New Roman" w:eastAsia="宋体"/>
          <w:b/>
          <w:color w:val="1F2937"/>
          <w:sz w:val="17"/>
        </w:rPr>
        <w:t>路线</w:t>
      </w:r>
      <w:r>
        <w:rPr>
          <w:rFonts w:ascii="Times New Roman" w:hAnsi="Times New Roman" w:eastAsia="宋体"/>
          <w:b w:val="0"/>
          <w:color w:val="1F2937"/>
          <w:sz w:val="17"/>
        </w:rPr>
        <w:t>：知识型错误优先改检索；风格/格式错误再考虑 LoRA。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5. </w:t>
      </w:r>
      <w:r>
        <w:rPr>
          <w:rFonts w:ascii="Times New Roman" w:hAnsi="Times New Roman" w:eastAsia="宋体"/>
          <w:b/>
          <w:color w:val="1F2937"/>
          <w:sz w:val="17"/>
        </w:rPr>
        <w:t>评测</w:t>
      </w:r>
      <w:r>
        <w:rPr>
          <w:rFonts w:ascii="Times New Roman" w:hAnsi="Times New Roman" w:eastAsia="宋体"/>
          <w:b w:val="0"/>
          <w:color w:val="1F2937"/>
          <w:sz w:val="17"/>
        </w:rPr>
        <w:t>：检索 Recall@5；答案正确率；引用准确率；拒答率；P95 时延。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6. </w:t>
      </w:r>
      <w:r>
        <w:rPr>
          <w:rFonts w:ascii="Times New Roman" w:hAnsi="Times New Roman" w:eastAsia="宋体"/>
          <w:b/>
          <w:color w:val="1F2937"/>
          <w:sz w:val="17"/>
        </w:rPr>
        <w:t>部署</w:t>
      </w:r>
      <w:r>
        <w:rPr>
          <w:rFonts w:ascii="Times New Roman" w:hAnsi="Times New Roman" w:eastAsia="宋体"/>
          <w:b w:val="0"/>
          <w:color w:val="1F2937"/>
          <w:sz w:val="17"/>
        </w:rPr>
        <w:t>：vLLM/内部服务；缓存；日志；每周失败案例归类，进入数据/检索/提示/微调队列。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22"/>
      </w:tblGrid>
      <w:tr>
        <w:tc>
          <w:tcPr>
            <w:tcW w:type="dxa" w:w="9922"/>
            <w:shd w:val="clear" w:color="auto" w:fill="E8EEFA"/>
            <w:tcBorders>
              <w:left w:val="single" w:sz="18" w:color="1E40AF"/>
              <w:top w:val="nil"/>
              <w:bottom w:val="nil"/>
              <w:right w:val="nil"/>
            </w:tcBorders>
            <w:tcMar>
              <w:top w:w="70" w:type="dxa"/>
              <w:start w:w="130" w:type="dxa"/>
              <w:bottom w:w="70" w:type="dxa"/>
              <w:end w:w="11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E40AF"/>
                <w:sz w:val="17"/>
              </w:rPr>
              <w:t>任务卡的价值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不是“写清楚”，而是“逼出取舍”。当“引用准确率 ≥ 90%”与“P95 ≤ 4 秒”冲突时，才会认真考虑切块、重排、缓存与并行。</w:t>
            </w:r>
          </w:p>
        </w:tc>
      </w:tr>
    </w:tbl>
    <w:p>
      <w:pPr>
        <w:keepNext/>
        <w:pageBreakBefore/>
        <w:spacing w:before="0" w:after="20"/>
        <w:pBdr>
          <w:bottom w:val="single" w:sz="10" w:space="4" w:color="0F766E"/>
        </w:pBdr>
      </w:pPr>
      <w:r>
        <w:rPr>
          <w:rFonts w:ascii="微软雅黑" w:hAnsi="微软雅黑" w:eastAsia="微软雅黑"/>
          <w:b/>
          <w:color w:val="C2711A"/>
          <w:sz w:val="16"/>
        </w:rPr>
        <w:t xml:space="preserve">02  /  </w:t>
      </w:r>
      <w:r>
        <w:rPr>
          <w:rFonts w:ascii="微软雅黑" w:hAnsi="微软雅黑" w:eastAsia="微软雅黑"/>
          <w:b/>
          <w:color w:val="122033"/>
          <w:sz w:val="36"/>
        </w:rPr>
        <w:t>概念与公式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i/>
          <w:color w:val="1F2937"/>
          <w:sz w:val="18"/>
        </w:rPr>
        <w:t>对应作业要求 2：核心概念与原理；它们分别解释什么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十个必须能解释的概念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概念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一句话解释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它解释什么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常见误解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参数/张量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可学习数值；多维数组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容量、GPU 并行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参数越多越好；张量=矩阵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Token/嵌入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文本最小单位；离散对象→连续向量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上下文、费用、语义检索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token=字/词；维度越高越好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注意力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按相关性聚合其他位置信息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长距离依赖、并行、可解释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注意力权重=因果解释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Transformer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注意力+前馈层的通用骨架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现代大模型结构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只能做 NLP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MoE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每 token 只激活部分专家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大总参数、低计算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MoE 一定更便宜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损失/交叉熵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衡量预测与目标的差距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模型在优化什么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loss 低=任务好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反向传播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链式法则求梯度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深度学习为何可训练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它=优化算法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AdamW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自适应学习率+解耦权重衰减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大模型训练默认优化器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不用调学习率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缩放规律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损失随模型/数据/算力幂律下降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预算如何分配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只要堆参数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量化/模型卡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低比特表示；记录用途/限制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降本、透明度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量化必掉点；模型卡=形式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四个关键公式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927"/>
        <w:gridCol w:w="3741"/>
        <w:gridCol w:w="3741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公式</w:t>
            </w:r>
          </w:p>
        </w:tc>
        <w:tc>
          <w:tcPr>
            <w:tcW w:type="dxa" w:w="3742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怎么读</w:t>
            </w:r>
          </w:p>
        </w:tc>
        <w:tc>
          <w:tcPr>
            <w:tcW w:type="dxa" w:w="3742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什么时候用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 xml:space="preserve">交叉熵 </w:t>
            </w:r>
            <w:r>
              <w:rPr>
                <w:rFonts w:ascii="Consolas" w:hAnsi="Consolas" w:eastAsia="宋体"/>
                <w:b w:val="0"/>
                <w:color w:val="1F2937"/>
                <w:sz w:val="13"/>
              </w:rPr>
              <w:t>L = −(1/N) Σ log p(y∣x)</w:t>
            </w:r>
          </w:p>
        </w:tc>
        <w:tc>
          <w:tcPr>
            <w:tcW w:type="dxa" w:w="374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正确类概率越高，损失越小；衡量“惊讶程度”</w:t>
            </w:r>
          </w:p>
        </w:tc>
        <w:tc>
          <w:tcPr>
            <w:tcW w:type="dxa" w:w="374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分类、语言建模</w:t>
            </w:r>
          </w:p>
        </w:tc>
      </w:tr>
      <w:tr>
        <w:trPr>
          <w:cantSplit w:val="true"/>
        </w:trPr>
        <w:tc>
          <w:tcPr>
            <w:tcW w:type="dxa" w:w="192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 xml:space="preserve">注意力 </w:t>
            </w:r>
            <w:r>
              <w:rPr>
                <w:rFonts w:ascii="Consolas" w:hAnsi="Consolas" w:eastAsia="宋体"/>
                <w:b w:val="0"/>
                <w:color w:val="1F2937"/>
                <w:sz w:val="13"/>
              </w:rPr>
              <w:t>softmax(QKᵀ/√d_k)V</w:t>
            </w:r>
          </w:p>
        </w:tc>
        <w:tc>
          <w:tcPr>
            <w:tcW w:type="dxa" w:w="374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Q 与 K 算相关性，softmax 归一化，对 V 加权</w:t>
            </w:r>
          </w:p>
        </w:tc>
        <w:tc>
          <w:tcPr>
            <w:tcW w:type="dxa" w:w="374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序列/视觉/多模态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 xml:space="preserve">LoRA </w:t>
            </w:r>
            <w:r>
              <w:rPr>
                <w:rFonts w:ascii="Consolas" w:hAnsi="Consolas" w:eastAsia="宋体"/>
                <w:b w:val="0"/>
                <w:color w:val="1F2937"/>
                <w:sz w:val="13"/>
              </w:rPr>
              <w:t>W' = W + (α/r)BA</w:t>
            </w:r>
          </w:p>
        </w:tc>
        <w:tc>
          <w:tcPr>
            <w:tcW w:type="dxa" w:w="374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冻结 W，只训练低秩补丁；r 控制容量</w:t>
            </w:r>
          </w:p>
        </w:tc>
        <w:tc>
          <w:tcPr>
            <w:tcW w:type="dxa" w:w="374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单卡领域适配</w:t>
            </w:r>
          </w:p>
        </w:tc>
      </w:tr>
      <w:tr>
        <w:trPr>
          <w:cantSplit w:val="true"/>
        </w:trPr>
        <w:tc>
          <w:tcPr>
            <w:tcW w:type="dxa" w:w="192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 xml:space="preserve">缩放 </w:t>
            </w:r>
            <w:r>
              <w:rPr>
                <w:rFonts w:ascii="Consolas" w:hAnsi="Consolas" w:eastAsia="宋体"/>
                <w:b w:val="0"/>
                <w:color w:val="1F2937"/>
                <w:sz w:val="13"/>
              </w:rPr>
              <w:t>L = E + AN^(−α) + BD^(−β)</w:t>
            </w:r>
          </w:p>
        </w:tc>
        <w:tc>
          <w:tcPr>
            <w:tcW w:type="dxa" w:w="374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模型/数据都能降损失，但边际递减；Chinchilla 约 20 token/参数</w:t>
            </w:r>
          </w:p>
        </w:tc>
        <w:tc>
          <w:tcPr>
            <w:tcW w:type="dxa" w:w="374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预训练预算分配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五个常见误区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参数越多越好</w:t>
      </w:r>
      <w:r>
        <w:rPr>
          <w:rFonts w:ascii="Times New Roman" w:hAnsi="Times New Roman" w:eastAsia="宋体"/>
          <w:b w:val="0"/>
          <w:color w:val="1F2937"/>
          <w:sz w:val="17"/>
        </w:rPr>
        <w:t>：固定算力下参数与数据要平衡；推理成本常被忽略。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训练 loss 低=模型好</w:t>
      </w:r>
      <w:r>
        <w:rPr>
          <w:rFonts w:ascii="Times New Roman" w:hAnsi="Times New Roman" w:eastAsia="宋体"/>
          <w:b w:val="0"/>
          <w:color w:val="1F2937"/>
          <w:sz w:val="17"/>
        </w:rPr>
        <w:t>：可能过拟合、泄漏或评测污染。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微调一定优于 RAG</w:t>
      </w:r>
      <w:r>
        <w:rPr>
          <w:rFonts w:ascii="Times New Roman" w:hAnsi="Times New Roman" w:eastAsia="宋体"/>
          <w:b w:val="0"/>
          <w:color w:val="1F2937"/>
          <w:sz w:val="17"/>
        </w:rPr>
        <w:t>：知识型问题优先检索；风格/格式再微调。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benchmark 高分=真实能力强</w:t>
      </w:r>
      <w:r>
        <w:rPr>
          <w:rFonts w:ascii="Times New Roman" w:hAnsi="Times New Roman" w:eastAsia="宋体"/>
          <w:b w:val="0"/>
          <w:color w:val="1F2937"/>
          <w:sz w:val="17"/>
        </w:rPr>
        <w:t>：污染、饱和、提示敏感、领域错位。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Agent=LLM+工具</w:t>
      </w:r>
      <w:r>
        <w:rPr>
          <w:rFonts w:ascii="Times New Roman" w:hAnsi="Times New Roman" w:eastAsia="宋体"/>
          <w:b w:val="0"/>
          <w:color w:val="1F2937"/>
          <w:sz w:val="17"/>
        </w:rPr>
        <w:t>：可靠性、权限、错误传播、回滚才是难点。</w:t>
      </w:r>
    </w:p>
    <w:p>
      <w:pPr>
        <w:keepNext/>
        <w:pageBreakBefore/>
        <w:spacing w:before="0" w:after="20"/>
        <w:pBdr>
          <w:bottom w:val="single" w:sz="10" w:space="4" w:color="0F766E"/>
        </w:pBdr>
      </w:pPr>
      <w:r>
        <w:rPr>
          <w:rFonts w:ascii="微软雅黑" w:hAnsi="微软雅黑" w:eastAsia="微软雅黑"/>
          <w:b/>
          <w:color w:val="C2711A"/>
          <w:sz w:val="16"/>
        </w:rPr>
        <w:t xml:space="preserve">03  /  </w:t>
      </w:r>
      <w:r>
        <w:rPr>
          <w:rFonts w:ascii="微软雅黑" w:hAnsi="微软雅黑" w:eastAsia="微软雅黑"/>
          <w:b/>
          <w:color w:val="122033"/>
          <w:sz w:val="36"/>
        </w:rPr>
        <w:t>方法与路线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i/>
          <w:color w:val="1F2937"/>
          <w:sz w:val="18"/>
        </w:rPr>
        <w:t>对应作业要求 2：有哪些解决方法；彼此依赖、并列、替代还是协同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八条路线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路线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核心思想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何时用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主要局限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经典监督学习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人工特征+统计模型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表格、小数据、要可解释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非结构化数据特征成本高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深度学习端到端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多层网络学表征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图/文/音，数据足够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数据/算力需求高，难解释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自监督预训练+微调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无标注预训练，标注微调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标注少、无标注多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预训练贵，微调会遗忘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提示/上下文学习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不改参数，改输入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快速验证、任务多样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受上下文限制，提示敏感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参数高效微调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冻结主体，训练少量参数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单卡、领域风格/格式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容量有限，秩/模块敏感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对齐训练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偏好/规则/可验证奖励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有用、诚实、无害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数据贵，奖励黑客，难评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RAG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先检索，再生成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知识更新、私有、需引用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检索决定上限，多跳弱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智能体/工具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规划+调用工具+执行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需行动、计算、实时信息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错误传播，权限/评测复杂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路线关系：不要把它们当互斥选项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A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B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预训练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微调/对齐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依赖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底座→行为；没有预训练就没有可微调的基础模型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全参微调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LoRA/QLoRA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替代/互补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资源足/要最大容量用全参；单卡/多任务用 LoRA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RAG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长上下文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部分替代/互补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少量长文档用长上下文；大规模/可更新/需引用用 RAG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RAG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微调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互补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RAG 管“知道什么”，微调管“怎么说/怎么做”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RLHF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DPO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替代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都优化偏好；RLHF 更灵活，DPO 更简单稳定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蒸馏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量化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协同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先迁能力到小模型，再降部署成本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CNN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ViT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替代/互补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小数据/边缘 CNN；大数据/多模态 ViT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Transformer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SSM/Mamba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替代/互补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超长/流式 SSM；通用生态 Transformer</w:t>
            </w:r>
          </w:p>
        </w:tc>
      </w:tr>
    </w:tbl>
    <w:p>
      <w:pPr>
        <w:spacing w:after="40"/>
      </w:pP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75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ute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7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微软雅黑" w:hAnsi="微软雅黑" w:eastAsia="微软雅黑"/>
          <w:b/>
          <w:color w:val="122033"/>
          <w:sz w:val="15"/>
        </w:rPr>
        <w:t>图 2  技术路线选择的启发式决策树：任务形态→数据量→知识→行动→偏好</w:t>
      </w:r>
    </w:p>
    <w:p>
      <w:pPr>
        <w:spacing w:after="60"/>
        <w:jc w:val="center"/>
      </w:pPr>
      <w:r>
        <w:rPr>
          <w:rFonts w:ascii="微软雅黑" w:hAnsi="微软雅黑" w:eastAsia="微软雅黑"/>
          <w:color w:val="6B7280"/>
          <w:sz w:val="14"/>
        </w:rPr>
        <w:t>来源：作者绘制；综合 [C01]、[C02]、[P23]、[P24]。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五个场景的路线建议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建议路线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关键理由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主要风险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小数据表格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梯度提升树/线性→深度（可选）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强基线、可解释、快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过拟合、特征泄漏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中等数据图像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预训练 CNN/ViT 微调→蒸馏/量化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表征强、成本低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域偏移、长尾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企业文档问答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RAG→重排→引用/拒答→LoRA（可选）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可更新、可引用、便宜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切块/召回/引用错配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低时延边缘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蒸馏→量化→专用推理引擎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成本/时延优先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精度掉点、算子兼容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复杂推理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SFT→RLVR/DPO→测试时计算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多步推理与验证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奖励黑客、评测泄漏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22"/>
      </w:tblGrid>
      <w:tr>
        <w:tc>
          <w:tcPr>
            <w:tcW w:type="dxa" w:w="9922"/>
            <w:shd w:val="clear" w:color="auto" w:fill="FBF1DF"/>
            <w:tcBorders>
              <w:left w:val="single" w:sz="18" w:color="C2711A"/>
              <w:top w:val="nil"/>
              <w:bottom w:val="nil"/>
              <w:right w:val="nil"/>
            </w:tcBorders>
            <w:tcMar>
              <w:top w:w="70" w:type="dxa"/>
              <w:start w:w="130" w:type="dxa"/>
              <w:bottom w:w="70" w:type="dxa"/>
              <w:end w:w="11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C2711A"/>
                <w:sz w:val="17"/>
              </w:rPr>
              <w:t>三条硬规则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先做不训练的基线；评测集先于模型；记录数据版本与随机种子。违反这三条，后面的“优化”都不可信。</w:t>
            </w:r>
          </w:p>
        </w:tc>
      </w:tr>
    </w:tbl>
    <w:p>
      <w:pPr>
        <w:keepNext/>
        <w:pageBreakBefore/>
        <w:spacing w:before="0" w:after="20"/>
        <w:pBdr>
          <w:bottom w:val="single" w:sz="10" w:space="4" w:color="0F766E"/>
        </w:pBdr>
      </w:pPr>
      <w:r>
        <w:rPr>
          <w:rFonts w:ascii="微软雅黑" w:hAnsi="微软雅黑" w:eastAsia="微软雅黑"/>
          <w:b/>
          <w:color w:val="C2711A"/>
          <w:sz w:val="16"/>
        </w:rPr>
        <w:t xml:space="preserve">04  /  </w:t>
      </w:r>
      <w:r>
        <w:rPr>
          <w:rFonts w:ascii="微软雅黑" w:hAnsi="微软雅黑" w:eastAsia="微软雅黑"/>
          <w:b/>
          <w:color w:val="122033"/>
          <w:sz w:val="36"/>
        </w:rPr>
        <w:t>工具与模型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i/>
          <w:color w:val="1F2937"/>
          <w:sz w:val="18"/>
        </w:rPr>
        <w:t>对应作业要求 2：软件/模型能完成什么、依赖什么、对应哪些课程、哪里会失效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工具链六层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作用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代表工具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不该用它做什么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L0 语言/数值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数据与计算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Python、NumPy、pandas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直接训练大模型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L1 建模框架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张量、自动微分、网络层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PyTorch、JAX、scikit-learn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大规模分布式全部工程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L2 数据/实验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数据、版本、追踪、标注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HF Datasets、DVC、W&amp;B、MLflow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替代评测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 训练/并行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单机/多机、显存优化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Lightning、Accelerate、DeepSpeed、Megatron、FSDP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直接面向业务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L4 微调/对齐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PEFT、偏好优化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PEFT、TRL、Unsloth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替代数据与评测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L5 推理/部署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高吞吐、编译、量化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vLLM、TensorRT-LLM、ONNX Runtime、Triton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训练模型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L6 应用/编排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检索、工具、界面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LangChain、LlamaIndex、FAISS、Gradio、FastAPI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替代底层能力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工具速查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587"/>
        <w:gridCol w:w="1984"/>
        <w:gridCol w:w="1984"/>
        <w:gridCol w:w="1984"/>
        <w:gridCol w:w="1870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工具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主要用途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前置知识</w:t>
            </w:r>
          </w:p>
        </w:tc>
        <w:tc>
          <w:tcPr>
            <w:tcW w:type="dxa" w:w="187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局限/替代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PyTorch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L1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张量、autograd、训练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Python、反向传播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大并行需 FSDP/DeepSpeed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HF Transformers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L1/L4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加载/训练/推理预训练模型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PyTorch、Transformer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封装高，初学需懂训练循环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PEFT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L4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LoRA 等高效微调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微调、显存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容量有限；可全参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TRL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L4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SFT/DPO/GRPO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对齐、RL 基础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配置复杂；可自写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DeepSpeed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ZeRO、卸载、分布式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显存、通信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配置复杂；可 FSDP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Megatron-LM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TP/PP/SP/专家并行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分布式系统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门槛高；可 DeepSpeed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vLLM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L5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高吞吐推理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推理、KV cache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自定义模型要适配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TensorRT-LLM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L5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NVIDIA 优化推理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CUDA/TensorRT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平台绑定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LangChain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L6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LLM 应用编排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API、RAG</w:t>
            </w: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抽象变化快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FAISS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L6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向量检索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ANN/向量</w:t>
            </w: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无分布式事务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一张“五联卡”：Transformer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2381"/>
        <w:gridCol w:w="7029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7030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能完成的任务</w:t>
            </w:r>
          </w:p>
        </w:tc>
        <w:tc>
          <w:tcPr>
            <w:tcW w:type="dxa" w:w="702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翻译、摘要、问答、对话、代码；视觉 patch、语音/多模态 token 序列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背后的概念</w:t>
            </w:r>
          </w:p>
        </w:tc>
        <w:tc>
          <w:tcPr>
            <w:tcW w:type="dxa" w:w="7029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自注意力 Q/K/V、多头、位置编码、残差、LayerNorm、下一 token 预测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使用前要知道</w:t>
            </w:r>
          </w:p>
        </w:tc>
        <w:tc>
          <w:tcPr>
            <w:tcW w:type="dxa" w:w="702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线性代数/softmax、反向传播、PyTorch 张量与训练循环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对应课程/资源</w:t>
            </w:r>
          </w:p>
        </w:tc>
        <w:tc>
          <w:tcPr>
            <w:tcW w:type="dxa" w:w="7029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CS224N、CS336、MIT 6.7960；[P01]、[B04]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适用/局限/替代</w:t>
            </w:r>
          </w:p>
        </w:tc>
        <w:tc>
          <w:tcPr>
            <w:tcW w:type="dxa" w:w="702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长序列、可并行时优先；长上下文二次复杂度；替代：CNN、RNN/SSM、稀疏注意力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最小上手</w:t>
            </w:r>
          </w:p>
        </w:tc>
        <w:tc>
          <w:tcPr>
            <w:tcW w:type="dxa" w:w="7029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手写单头 attention → 堆 2 层 block → 小翻译/语言建模任务对比 RNN</w:t>
            </w:r>
          </w:p>
        </w:tc>
      </w:tr>
    </w:tbl>
    <w:p>
      <w:pPr>
        <w:keepNext/>
        <w:pageBreakBefore/>
        <w:spacing w:before="0" w:after="20"/>
        <w:pBdr>
          <w:bottom w:val="single" w:sz="10" w:space="4" w:color="0F766E"/>
        </w:pBdr>
      </w:pPr>
      <w:r>
        <w:rPr>
          <w:rFonts w:ascii="微软雅黑" w:hAnsi="微软雅黑" w:eastAsia="微软雅黑"/>
          <w:b/>
          <w:color w:val="C2711A"/>
          <w:sz w:val="16"/>
        </w:rPr>
        <w:t xml:space="preserve">05  /  </w:t>
      </w:r>
      <w:r>
        <w:rPr>
          <w:rFonts w:ascii="微软雅黑" w:hAnsi="微软雅黑" w:eastAsia="微软雅黑"/>
          <w:b/>
          <w:color w:val="122033"/>
          <w:sz w:val="36"/>
        </w:rPr>
        <w:t>数据、算力与评测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i/>
          <w:color w:val="1F2937"/>
          <w:sz w:val="18"/>
        </w:rPr>
        <w:t>对应作业要求 1：需要什么数据、评测、实验环境或硬件条件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数据生命周期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color w:val="1F2937"/>
          <w:sz w:val="18"/>
        </w:rPr>
        <w:t>采集 → 解析 → 清洗 → 去重 → 过滤 → 去污染 → 切分 → 版本化。每一步都留“数据卡”：来源、许可、规模、时间、处理、切分、隐私、偏见、版本、已知问题。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常用数据与评测资源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资源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类型/规模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典型用途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注意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Common Crawl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Web 抓取，PB 级原始数据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预训练起点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版权复杂，需清洗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The Pile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约 825GiB、22 子集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多领域预训练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子集许可不同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C4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约 750GB 清洗英文网页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语言模型预训练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去重/去污染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ImageNet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约 128 万训练图、1000 类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图像分类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研究条款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COCO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约 33 万图、80 类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检测/分割/描述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标注/图像许可分开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MMLU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57 学科、约 1.5 万题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知识评测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污染/饱和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GSM8K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约 8.5k 数学题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推理评测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答案格式敏感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HumanEval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164 道 Python 题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代码评测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题目短、易泄漏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MTEB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数十个嵌入任务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检索/分类/聚类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语言/任务覆盖不均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Chatbot Arena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人类成对偏好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对话偏好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人群/提示偏差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评测的三个层次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层次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看什么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常用工具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局限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能力层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基准分数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MMLU、GSM8K、HumanEval、MTEB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污染、饱和、与真实任务脱节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任务层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你的真实指标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自建 100—1000 条测试集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成本高、样本小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体验层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有用/可信/可纠正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人类评估、A/B、访谈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主观、难复现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算力粗算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 w:val="0"/>
          <w:color w:val="1F2937"/>
          <w:sz w:val="17"/>
        </w:rPr>
        <w:t xml:space="preserve">训练算力 </w:t>
      </w:r>
      <w:r>
        <w:rPr>
          <w:rFonts w:ascii="Consolas" w:hAnsi="Consolas" w:eastAsia="宋体"/>
          <w:b w:val="0"/>
          <w:color w:val="1F2937"/>
          <w:sz w:val="16"/>
        </w:rPr>
        <w:t>C ≈ 6ND</w:t>
      </w:r>
      <w:r>
        <w:rPr>
          <w:rFonts w:ascii="Times New Roman" w:hAnsi="Times New Roman" w:eastAsia="宋体"/>
          <w:b w:val="0"/>
          <w:color w:val="1F2937"/>
          <w:sz w:val="17"/>
        </w:rPr>
        <w:t>；N=7B、D=140B ≈ 5.9×10²¹ FLOPs，100 TFLOP/s 理论约 680 GPU 天。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 w:val="0"/>
          <w:color w:val="1F2937"/>
          <w:sz w:val="17"/>
        </w:rPr>
        <w:t>训练显存：混合精度+Adam 约“每参数 16—20 字节”+激活；7B 仅状态就可能 &gt;100GB，需分片/卸载。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 w:val="0"/>
          <w:color w:val="1F2937"/>
          <w:sz w:val="17"/>
        </w:rPr>
        <w:t xml:space="preserve">推理：每 token 约 </w:t>
      </w:r>
      <w:r>
        <w:rPr>
          <w:rFonts w:ascii="Consolas" w:hAnsi="Consolas" w:eastAsia="宋体"/>
          <w:b w:val="0"/>
          <w:color w:val="1F2937"/>
          <w:sz w:val="16"/>
        </w:rPr>
        <w:t>2N</w:t>
      </w:r>
      <w:r>
        <w:rPr>
          <w:rFonts w:ascii="Times New Roman" w:hAnsi="Times New Roman" w:eastAsia="宋体"/>
          <w:b w:val="0"/>
          <w:color w:val="1F2937"/>
          <w:sz w:val="17"/>
        </w:rPr>
        <w:t xml:space="preserve"> FLOPs；长上下文 KV cache 可能超过权重。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 w:val="0"/>
          <w:color w:val="1F2937"/>
          <w:sz w:val="17"/>
        </w:rPr>
        <w:t>单卡 24GB：7B QLoRA、≤1B 从零训练、推理；7B 全参预训练不可行。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最小可行方案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A 领域 LoRA</w:t>
      </w:r>
      <w:r>
        <w:rPr>
          <w:rFonts w:ascii="Times New Roman" w:hAnsi="Times New Roman" w:eastAsia="宋体"/>
          <w:b w:val="0"/>
          <w:color w:val="1F2937"/>
          <w:sz w:val="17"/>
        </w:rPr>
        <w:t>：1×24GB，QLoRA，数千样本，1—2 周；产出适配器+评测报告+模型卡。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B 从零小模型</w:t>
      </w:r>
      <w:r>
        <w:rPr>
          <w:rFonts w:ascii="Times New Roman" w:hAnsi="Times New Roman" w:eastAsia="宋体"/>
          <w:b w:val="0"/>
          <w:color w:val="1F2937"/>
          <w:sz w:val="17"/>
        </w:rPr>
        <w:t>：10M—100M 参数，2—4 周；产出训练日志+样例+报告。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C RAG 问答</w:t>
      </w:r>
      <w:r>
        <w:rPr>
          <w:rFonts w:ascii="Times New Roman" w:hAnsi="Times New Roman" w:eastAsia="宋体"/>
          <w:b w:val="0"/>
          <w:color w:val="1F2937"/>
          <w:sz w:val="17"/>
        </w:rPr>
        <w:t>：1 周，推荐作为第一个项目；产出检索/答案评测+Demo。</w:t>
      </w:r>
    </w:p>
    <w:p>
      <w:pPr>
        <w:keepNext/>
        <w:pageBreakBefore/>
        <w:spacing w:before="0" w:after="20"/>
        <w:pBdr>
          <w:bottom w:val="single" w:sz="10" w:space="4" w:color="0F766E"/>
        </w:pBdr>
      </w:pPr>
      <w:r>
        <w:rPr>
          <w:rFonts w:ascii="微软雅黑" w:hAnsi="微软雅黑" w:eastAsia="微软雅黑"/>
          <w:b/>
          <w:color w:val="C2711A"/>
          <w:sz w:val="16"/>
        </w:rPr>
        <w:t xml:space="preserve">06  /  </w:t>
      </w:r>
      <w:r>
        <w:rPr>
          <w:rFonts w:ascii="微软雅黑" w:hAnsi="微软雅黑" w:eastAsia="微软雅黑"/>
          <w:b/>
          <w:color w:val="122033"/>
          <w:sz w:val="36"/>
        </w:rPr>
        <w:t>课程、路径与培养方案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i/>
          <w:color w:val="1F2937"/>
          <w:sz w:val="18"/>
        </w:rPr>
        <w:t>对应作业要求 3：培养要求→能力→课程→工具→实践；前置/核心/部分/实践/拓展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课程池（示例；具体以本校方案为准）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课程（示例）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代表院校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在模型构建中的角色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标签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数学分析/微积分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清华、北大、浙大；MIT 18.01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损失、梯度、概率密度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前置基础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线性代数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清华、北大、浙大；MIT 18.06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张量、矩阵分解、注意力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前置基础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概率论与数理统计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清华、北大、浙大；Stanford CS109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分布、估计、评测置信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前置基础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程序设计/数据结构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清华、北大、浙大；CMU 15-122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代码、复杂度、数据管道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前置基础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最优化方法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收敛、梯度法、约束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核心覆盖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人工智能导论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领域全景与术语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核心覆盖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机器学习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清华、北大、浙大；CS229、10-701、CS189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监督/无监督、评估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核心覆盖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深度学习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清华、北大、浙大；6.7960、11-785、CS182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MLP/CNN/RNN/Transformer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核心覆盖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计算机视觉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清华、北大、浙大；CS231N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检测/分割/生成/多模态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部分涉及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自然语言处理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清华、北大、浙大；CS224N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词向量、注意力、预训练、后训练、RAG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部分涉及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强化学习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清华、北大、浙大；CS285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MDP、策略梯度、LLM RL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部分涉及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深度学习系统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CMU 10-414/714；CS336 systems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内存、并行、编译、推理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实践应用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大语言模型从零构建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Stanford CS336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数据→Tokenizer→模型→训练→评测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实践应用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18 个月路径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76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earning_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微软雅黑" w:hAnsi="微软雅黑" w:eastAsia="微软雅黑"/>
          <w:b/>
          <w:color w:val="122033"/>
          <w:sz w:val="15"/>
        </w:rPr>
        <w:t>图 3  18 个月：从会用到能造，再到能评；每阶段一个可验收产物</w:t>
      </w:r>
    </w:p>
    <w:p>
      <w:pPr>
        <w:spacing w:after="60"/>
        <w:jc w:val="center"/>
      </w:pPr>
      <w:r>
        <w:rPr>
          <w:rFonts w:ascii="微软雅黑" w:hAnsi="微软雅黑" w:eastAsia="微软雅黑"/>
          <w:color w:val="6B7280"/>
          <w:sz w:val="14"/>
        </w:rPr>
        <w:t>来源：作者绘制；参考 [C01]、[C02]、[C07]、[C08]。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四个作品集项目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经典基线</w:t>
      </w:r>
      <w:r>
        <w:rPr>
          <w:rFonts w:ascii="Times New Roman" w:hAnsi="Times New Roman" w:eastAsia="宋体"/>
          <w:b w:val="0"/>
          <w:color w:val="1F2937"/>
          <w:sz w:val="17"/>
        </w:rPr>
        <w:t>：表格数据端到端预测，证明会做基线、懂评估。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预训练微调</w:t>
      </w:r>
      <w:r>
        <w:rPr>
          <w:rFonts w:ascii="Times New Roman" w:hAnsi="Times New Roman" w:eastAsia="宋体"/>
          <w:b w:val="0"/>
          <w:color w:val="1F2937"/>
          <w:sz w:val="17"/>
        </w:rPr>
        <w:t>：视觉/文本任务，证明会用预训练、会做错误分析。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从零小模型</w:t>
      </w:r>
      <w:r>
        <w:rPr>
          <w:rFonts w:ascii="Times New Roman" w:hAnsi="Times New Roman" w:eastAsia="宋体"/>
          <w:b w:val="0"/>
          <w:color w:val="1F2937"/>
          <w:sz w:val="17"/>
        </w:rPr>
        <w:t>：10M—100M 参数语言模型，证明理解内部。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RAG/领域助手</w:t>
      </w:r>
      <w:r>
        <w:rPr>
          <w:rFonts w:ascii="Times New Roman" w:hAnsi="Times New Roman" w:eastAsia="宋体"/>
          <w:b w:val="0"/>
          <w:color w:val="1F2937"/>
          <w:sz w:val="17"/>
        </w:rPr>
        <w:t>：私有知识+引用+评测+服务，证明能把模型变成系统。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培养方案对接（三条链路）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474"/>
        <w:gridCol w:w="1644"/>
        <w:gridCol w:w="1644"/>
        <w:gridCol w:w="1644"/>
        <w:gridCol w:w="1530"/>
        <w:gridCol w:w="1474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取向</w:t>
            </w:r>
          </w:p>
        </w:tc>
        <w:tc>
          <w:tcPr>
            <w:tcW w:type="dxa" w:w="164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培养要求（参照）</w:t>
            </w:r>
          </w:p>
        </w:tc>
        <w:tc>
          <w:tcPr>
            <w:tcW w:type="dxa" w:w="164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具体能力</w:t>
            </w:r>
          </w:p>
        </w:tc>
        <w:tc>
          <w:tcPr>
            <w:tcW w:type="dxa" w:w="164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课程内容</w:t>
            </w:r>
          </w:p>
        </w:tc>
        <w:tc>
          <w:tcPr>
            <w:tcW w:type="dxa" w:w="153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概念/工具</w:t>
            </w:r>
          </w:p>
        </w:tc>
        <w:tc>
          <w:tcPr>
            <w:tcW w:type="dxa" w:w="147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后续实践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科学家</w:t>
            </w:r>
          </w:p>
        </w:tc>
        <w:tc>
          <w:tcPr>
            <w:tcW w:type="dxa" w:w="164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识别/形式化问题；设计实验；学术沟通</w:t>
            </w:r>
          </w:p>
        </w:tc>
        <w:tc>
          <w:tcPr>
            <w:tcW w:type="dxa" w:w="164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提假设、做消融、写复现</w:t>
            </w:r>
          </w:p>
        </w:tc>
        <w:tc>
          <w:tcPr>
            <w:tcW w:type="dxa" w:w="164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机器学习、深度学习、最优化、方向课</w:t>
            </w:r>
          </w:p>
        </w:tc>
        <w:tc>
          <w:tcPr>
            <w:tcW w:type="dxa" w:w="153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偏差—方差、scaling law、PyTorch</w:t>
            </w:r>
          </w:p>
        </w:tc>
        <w:tc>
          <w:tcPr>
            <w:tcW w:type="dxa" w:w="147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复现一篇论文+新实验+4 页报告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工程师</w:t>
            </w:r>
          </w:p>
        </w:tc>
        <w:tc>
          <w:tcPr>
            <w:tcW w:type="dxa" w:w="164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设计系统；构建数据/训练管道；优化性能</w:t>
            </w:r>
          </w:p>
        </w:tc>
        <w:tc>
          <w:tcPr>
            <w:tcW w:type="dxa" w:w="164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训练、部署、压测、回滚</w:t>
            </w:r>
          </w:p>
        </w:tc>
        <w:tc>
          <w:tcPr>
            <w:tcW w:type="dxa" w:w="164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深度学习系统、分布式、数据库/OS</w:t>
            </w:r>
          </w:p>
        </w:tc>
        <w:tc>
          <w:tcPr>
            <w:tcW w:type="dxa" w:w="153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FSDP/DeepSpeed、vLLM、W&amp;B</w:t>
            </w:r>
          </w:p>
        </w:tc>
        <w:tc>
          <w:tcPr>
            <w:tcW w:type="dxa" w:w="147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部署 RAG/微调服务+SLO 报告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设计/产品</w:t>
            </w:r>
          </w:p>
        </w:tc>
        <w:tc>
          <w:tcPr>
            <w:tcW w:type="dxa" w:w="164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发现需求；人机协同；伦理判断</w:t>
            </w:r>
          </w:p>
        </w:tc>
        <w:tc>
          <w:tcPr>
            <w:tcW w:type="dxa" w:w="164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访谈、原型、体验评估</w:t>
            </w:r>
          </w:p>
        </w:tc>
        <w:tc>
          <w:tcPr>
            <w:tcW w:type="dxa" w:w="164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人机交互、设计思维、AI 伦理</w:t>
            </w:r>
          </w:p>
        </w:tc>
        <w:tc>
          <w:tcPr>
            <w:tcW w:type="dxa" w:w="153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任务分析、引用/拒答、human-in-loop</w:t>
            </w:r>
          </w:p>
        </w:tc>
        <w:tc>
          <w:tcPr>
            <w:tcW w:type="dxa" w:w="147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5 个用户访谈+可点击原型+评测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22"/>
      </w:tblGrid>
      <w:tr>
        <w:tc>
          <w:tcPr>
            <w:tcW w:type="dxa" w:w="9922"/>
            <w:shd w:val="clear" w:color="auto" w:fill="FBF1DF"/>
            <w:tcBorders>
              <w:left w:val="single" w:sz="18" w:color="C2711A"/>
              <w:top w:val="nil"/>
              <w:bottom w:val="nil"/>
              <w:right w:val="nil"/>
            </w:tcBorders>
            <w:tcMar>
              <w:top w:w="70" w:type="dxa"/>
              <w:start w:w="130" w:type="dxa"/>
              <w:bottom w:w="70" w:type="dxa"/>
              <w:end w:w="11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C2711A"/>
                <w:sz w:val="17"/>
              </w:rPr>
              <w:t>课程关联的底线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课程名必须来自真实培养方案；不确定的标“待核实”；未来课程只是学习入口，不能当成本课程先修要求。不要凭课名猜内容。</w:t>
            </w:r>
          </w:p>
        </w:tc>
      </w:tr>
    </w:tbl>
    <w:p>
      <w:pPr>
        <w:keepNext/>
        <w:pageBreakBefore/>
        <w:spacing w:before="0" w:after="20"/>
        <w:pBdr>
          <w:bottom w:val="single" w:sz="10" w:space="4" w:color="0F766E"/>
        </w:pBdr>
      </w:pPr>
      <w:r>
        <w:rPr>
          <w:rFonts w:ascii="微软雅黑" w:hAnsi="微软雅黑" w:eastAsia="微软雅黑"/>
          <w:b/>
          <w:color w:val="C2711A"/>
          <w:sz w:val="16"/>
        </w:rPr>
        <w:t xml:space="preserve">07  /  </w:t>
      </w:r>
      <w:r>
        <w:rPr>
          <w:rFonts w:ascii="微软雅黑" w:hAnsi="微软雅黑" w:eastAsia="微软雅黑"/>
          <w:b/>
          <w:color w:val="122033"/>
          <w:sz w:val="36"/>
        </w:rPr>
        <w:t>理解程度与待核实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i/>
          <w:color w:val="1F2937"/>
          <w:sz w:val="18"/>
        </w:rPr>
        <w:t>对应作业要求 4：标明当前理解程度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五级量表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可观察证据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不能称为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L0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未接触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说不出基本定义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“了解”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L1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能复述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能解释概念、看懂教程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“掌握”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L2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能解释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能说明为什么、何时失败、比较方案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“精通”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能复现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独立复现最小例子/论文实验，能修常见错误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“会做研究”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L4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能改造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针对新任务改结构/目标/数据/系统，并用评测证明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“专家”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L5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能创新/迁移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提出新问题/方法，或迁移到新领域并产出可复用成果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“大师”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关键节点自评（团队填写）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587"/>
        <w:gridCol w:w="1984"/>
        <w:gridCol w:w="1984"/>
        <w:gridCol w:w="1984"/>
        <w:gridCol w:w="1870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关键节点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建议目标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资料可支撑</w:t>
            </w:r>
          </w:p>
        </w:tc>
        <w:tc>
          <w:tcPr>
            <w:tcW w:type="dxa" w:w="1984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当前（L0—L5）</w:t>
            </w:r>
          </w:p>
        </w:tc>
        <w:tc>
          <w:tcPr>
            <w:tcW w:type="dxa" w:w="187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证据/下一步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任务形式化与验收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写任务卡；找 1 个反例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数据清洗/去重/去污染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处理真实语料；报告重复率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Transformer/注意力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L4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手写 attention；训练小模型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训练循环/反向传播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L4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从零写循环；过拟合小 batch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LoRA/QLoRA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单卡微调 7B/8B；对比全参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DPO/RLHF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L2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L2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读论文；跑小型 DPO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离线评测/错误分析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L4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100 条评测集；混淆矩阵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RAG/引用/拒答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领域问答；评估引用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vLLM/量化/服务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部署 API；记录 P95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可复现/模型卡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L3</w:t>
            </w:r>
          </w:p>
        </w:tc>
        <w:tc>
          <w:tcPr>
            <w:tcW w:type="dxa" w:w="1984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</w:p>
        </w:tc>
        <w:tc>
          <w:tcPr>
            <w:tcW w:type="dxa" w:w="187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写复现包+模型卡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22"/>
      </w:tblGrid>
      <w:tr>
        <w:tc>
          <w:tcPr>
            <w:tcW w:type="dxa" w:w="9922"/>
            <w:shd w:val="clear" w:color="auto" w:fill="E8EEFA"/>
            <w:tcBorders>
              <w:left w:val="single" w:sz="18" w:color="1E40AF"/>
              <w:top w:val="nil"/>
              <w:bottom w:val="nil"/>
              <w:right w:val="nil"/>
            </w:tcBorders>
            <w:tcMar>
              <w:top w:w="70" w:type="dxa"/>
              <w:start w:w="130" w:type="dxa"/>
              <w:bottom w:w="70" w:type="dxa"/>
              <w:end w:w="11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E40AF"/>
                <w:sz w:val="17"/>
              </w:rPr>
              <w:t>填表示例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Transformer：目标 L4；资料可支撑 L3；团队当前 L3；证据：独立手写 attention，训练过 50M 参数模型，能定位 loss 异常。</w:t>
            </w:r>
          </w:p>
        </w:tc>
      </w:tr>
    </w:tbl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待核实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本校课程名/学分/学期</w:t>
      </w:r>
      <w:r>
        <w:rPr>
          <w:rFonts w:ascii="Times New Roman" w:hAnsi="Times New Roman" w:eastAsia="宋体"/>
          <w:b w:val="0"/>
          <w:color w:val="1F2937"/>
          <w:sz w:val="17"/>
        </w:rPr>
        <w:t>：教务处/学院培养方案、课程大纲；课名相似≠内容相同。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数据/模型许可</w:t>
      </w:r>
      <w:r>
        <w:rPr>
          <w:rFonts w:ascii="Times New Roman" w:hAnsi="Times New Roman" w:eastAsia="宋体"/>
          <w:b w:val="0"/>
          <w:color w:val="1F2937"/>
          <w:sz w:val="17"/>
        </w:rPr>
        <w:t>：LICENSE、数据集页面、法务；商用与再分发限制。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GPU/云预算</w:t>
      </w:r>
      <w:r>
        <w:rPr>
          <w:rFonts w:ascii="Times New Roman" w:hAnsi="Times New Roman" w:eastAsia="宋体"/>
          <w:b w:val="0"/>
          <w:color w:val="1F2937"/>
          <w:sz w:val="17"/>
        </w:rPr>
        <w:t>：设备清单、云报价；决定可行方案。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/>
          <w:color w:val="1F2937"/>
          <w:sz w:val="17"/>
        </w:rPr>
        <w:t>评测集污染</w:t>
      </w:r>
      <w:r>
        <w:rPr>
          <w:rFonts w:ascii="Times New Roman" w:hAnsi="Times New Roman" w:eastAsia="宋体"/>
          <w:b w:val="0"/>
          <w:color w:val="1F2937"/>
          <w:sz w:val="17"/>
        </w:rPr>
        <w:t>：n-gram/embedding 近似检查；分数是否可信。</w:t>
      </w:r>
    </w:p>
    <w:p>
      <w:pPr>
        <w:keepNext/>
        <w:pageBreakBefore/>
        <w:spacing w:before="0" w:after="20"/>
        <w:pBdr>
          <w:bottom w:val="single" w:sz="10" w:space="4" w:color="0F766E"/>
        </w:pBdr>
      </w:pPr>
      <w:r>
        <w:rPr>
          <w:rFonts w:ascii="微软雅黑" w:hAnsi="微软雅黑" w:eastAsia="微软雅黑"/>
          <w:b/>
          <w:color w:val="C2711A"/>
          <w:sz w:val="16"/>
        </w:rPr>
        <w:t xml:space="preserve">08  /  </w:t>
      </w:r>
      <w:r>
        <w:rPr>
          <w:rFonts w:ascii="微软雅黑" w:hAnsi="微软雅黑" w:eastAsia="微软雅黑"/>
          <w:b/>
          <w:color w:val="122033"/>
          <w:sz w:val="36"/>
        </w:rPr>
        <w:t>十二周行动与主要来源</w:t>
      </w:r>
    </w:p>
    <w:p>
      <w:pPr>
        <w:spacing w:after="50"/>
        <w:jc w:val="both"/>
      </w:pPr>
      <w:r>
        <w:rPr>
          <w:rFonts w:ascii="Times New Roman" w:hAnsi="Times New Roman" w:eastAsia="宋体"/>
          <w:b w:val="0"/>
          <w:i/>
          <w:color w:val="1F2937"/>
          <w:sz w:val="18"/>
        </w:rPr>
        <w:t>把地图变成行动；来源可核查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十二周（每周 8—10 小时）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Borders>
          <w:top w:val="single" w:sz="4" w:color="D9D4C8"/>
          <w:left w:val="single" w:sz="4" w:color="D9D4C8"/>
          <w:bottom w:val="single" w:sz="4" w:color="D9D4C8"/>
          <w:right w:val="single" w:sz="4" w:color="D9D4C8"/>
          <w:insideH w:val="single" w:sz="4" w:color="D9D4C8"/>
          <w:insideV w:val="single" w:sz="4" w:color="D9D4C8"/>
        </w:tblBorders>
      </w:tblPr>
      <w:tblGrid>
        <w:gridCol w:w="1700"/>
        <w:gridCol w:w="2607"/>
        <w:gridCol w:w="2551"/>
        <w:gridCol w:w="255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608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周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2551"/>
            <w:shd w:val="clear" w:color="auto" w:fill="12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打地基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1—2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任务卡、基线、50 条评测集、数据卡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任务卡+数据卡+评测集 v0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跑通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3—4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端到端 Demo、100 条评测、错误分类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可运行系统+评测报告 v1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改进</w:t>
            </w:r>
          </w:p>
        </w:tc>
        <w:tc>
          <w:tcPr>
            <w:tcW w:type="dxa" w:w="260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5—8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只改一个变量；消融；稳健性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对比实验+消融表</w:t>
            </w:r>
          </w:p>
        </w:tc>
      </w:tr>
      <w:tr>
        <w:trPr>
          <w:cantSplit w:val="true"/>
        </w:trPr>
        <w:tc>
          <w:tcPr>
            <w:tcW w:type="dxa" w:w="1700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交付</w:t>
            </w:r>
          </w:p>
        </w:tc>
        <w:tc>
          <w:tcPr>
            <w:tcW w:type="dxa" w:w="2607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9—12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服务化、压测、红队、模型卡、复现包</w:t>
            </w:r>
          </w:p>
        </w:tc>
        <w:tc>
          <w:tcPr>
            <w:tcW w:type="dxa" w:w="2551"/>
            <w:shd w:val="clear" w:color="auto" w:fill="F8F6F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5"/>
              </w:rPr>
              <w:t>API+报告+复现包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最终交付清单</w:t>
      </w:r>
    </w:p>
    <w:p>
      <w:pPr>
        <w:spacing w:after="30" w:line="300" w:lineRule="auto"/>
        <w:ind w:left="238" w:hanging="238"/>
      </w:pPr>
      <w:r>
        <w:rPr>
          <w:rFonts w:ascii="微软雅黑" w:hAnsi="微软雅黑" w:eastAsia="微软雅黑"/>
          <w:b/>
          <w:color w:val="0F766E"/>
          <w:sz w:val="17"/>
        </w:rPr>
        <w:t xml:space="preserve">• </w:t>
      </w:r>
      <w:r>
        <w:rPr>
          <w:rFonts w:ascii="Times New Roman" w:hAnsi="Times New Roman" w:eastAsia="宋体"/>
          <w:b w:val="0"/>
          <w:color w:val="1F2937"/>
          <w:sz w:val="17"/>
        </w:rPr>
        <w:t>☐ 代码可运行；☐ 数据卡/版本/切分；☐ 模型卡；☐ 评测集与错误分析；☐ 服务/演示；☐ README+复现包；☐ 红队/许可/回滚。</w:t>
      </w:r>
    </w:p>
    <w:p>
      <w:pPr>
        <w:pStyle w:val="Heading2"/>
        <w:keepNext/>
        <w:spacing w:before="160" w:after="40"/>
      </w:pPr>
      <w:r>
        <w:rPr>
          <w:rFonts w:ascii="微软雅黑" w:hAnsi="微软雅黑" w:eastAsia="微软雅黑"/>
          <w:b/>
          <w:color w:val="0F766E"/>
          <w:sz w:val="22"/>
        </w:rPr>
        <w:t>主要来源（节选）</w:t>
      </w:r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[C01] </w:t>
      </w:r>
      <w:r>
        <w:rPr>
          <w:rFonts w:ascii="Times New Roman" w:hAnsi="Times New Roman" w:eastAsia="宋体"/>
          <w:color w:val="1F2937"/>
          <w:sz w:val="13"/>
        </w:rPr>
        <w:t xml:space="preserve">Stanford University. CS336: Language Modeling from Scratch (Spring 2026). 课程网站, 2026. </w:t>
      </w:r>
      <w:hyperlink r:id="rId15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https://cs336.stanford.edu/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[C02] </w:t>
      </w:r>
      <w:r>
        <w:rPr>
          <w:rFonts w:ascii="Times New Roman" w:hAnsi="Times New Roman" w:eastAsia="宋体"/>
          <w:color w:val="1F2937"/>
          <w:sz w:val="13"/>
        </w:rPr>
        <w:t xml:space="preserve">Stanford University. CS224N: Natural Language Processing with Deep Learning (Winter 2026). 课程网站, 2026. </w:t>
      </w:r>
      <w:hyperlink r:id="rId16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https://web.stanford.edu/class/cs224n/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[C07] </w:t>
      </w:r>
      <w:r>
        <w:rPr>
          <w:rFonts w:ascii="Times New Roman" w:hAnsi="Times New Roman" w:eastAsia="宋体"/>
          <w:color w:val="1F2937"/>
          <w:sz w:val="13"/>
        </w:rPr>
        <w:t xml:space="preserve">MIT. 6.S191: Introduction to Deep Learning (2026). 课程网站, 2026. </w:t>
      </w:r>
      <w:hyperlink r:id="rId17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https://introtodeeplearning.com/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[C08] </w:t>
      </w:r>
      <w:r>
        <w:rPr>
          <w:rFonts w:ascii="Times New Roman" w:hAnsi="Times New Roman" w:eastAsia="宋体"/>
          <w:color w:val="1F2937"/>
          <w:sz w:val="13"/>
        </w:rPr>
        <w:t xml:space="preserve">MIT EECS. 6.7960: Deep Learning (Fall 2024). 课程网站, 2024. </w:t>
      </w:r>
      <w:hyperlink r:id="rId18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https://phillipi.github.io/6.7960/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[C10] </w:t>
      </w:r>
      <w:r>
        <w:rPr>
          <w:rFonts w:ascii="Times New Roman" w:hAnsi="Times New Roman" w:eastAsia="宋体"/>
          <w:color w:val="1F2937"/>
          <w:sz w:val="13"/>
        </w:rPr>
        <w:t xml:space="preserve">Carnegie Mellon University. 10-701: Introduction to Machine Learning. 2026–2027 Course Catalog, 2026. </w:t>
      </w:r>
      <w:hyperlink r:id="rId19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https://coursecatalog.web.cmu.edu/search/?P=10-701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[C13] </w:t>
      </w:r>
      <w:r>
        <w:rPr>
          <w:rFonts w:ascii="Times New Roman" w:hAnsi="Times New Roman" w:eastAsia="宋体"/>
          <w:color w:val="1F2937"/>
          <w:sz w:val="13"/>
        </w:rPr>
        <w:t xml:space="preserve">UC Berkeley EECS. CS 189: Introduction to Machine Learning. 课程目录, 2026. </w:t>
      </w:r>
      <w:hyperlink r:id="rId20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https://www2.eecs.berkeley.edu/Courses/CS189/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[C15] </w:t>
      </w:r>
      <w:r>
        <w:rPr>
          <w:rFonts w:ascii="Times New Roman" w:hAnsi="Times New Roman" w:eastAsia="宋体"/>
          <w:color w:val="1F2937"/>
          <w:sz w:val="13"/>
        </w:rPr>
        <w:t xml:space="preserve">UC Berkeley. CS 185/285: Deep Reinforcement Learning. 课程网站, 2026. </w:t>
      </w:r>
      <w:hyperlink r:id="rId21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https://rail.eecs.berkeley.edu/deeprlcourse/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[C16] </w:t>
      </w:r>
      <w:r>
        <w:rPr>
          <w:rFonts w:ascii="Times New Roman" w:hAnsi="Times New Roman" w:eastAsia="宋体"/>
          <w:color w:val="1F2937"/>
          <w:sz w:val="13"/>
        </w:rPr>
        <w:t xml:space="preserve">清华大学. 清华大学人工智能班（智班）本科培养方案. 清华大学本科招生/培养方案公开文件, 2022. </w:t>
      </w:r>
      <w:hyperlink r:id="rId22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https://www.tsinghua.edu.cn/jxjywj/bkzy2022/zxzy/29-3.pdf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[C17] </w:t>
      </w:r>
      <w:r>
        <w:rPr>
          <w:rFonts w:ascii="Times New Roman" w:hAnsi="Times New Roman" w:eastAsia="宋体"/>
          <w:color w:val="1F2937"/>
          <w:sz w:val="13"/>
        </w:rPr>
        <w:t xml:space="preserve">北京大学. 北京大学本科培养方案（人工智能专业相关部分）. 北京大学教务部公开文件, 2023. </w:t>
      </w:r>
      <w:hyperlink r:id="rId23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http://www.dean.pku.edu.cn/userfiles/upload/download/202309010917575972.pdf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[C18] </w:t>
      </w:r>
      <w:r>
        <w:rPr>
          <w:rFonts w:ascii="Times New Roman" w:hAnsi="Times New Roman" w:eastAsia="宋体"/>
          <w:color w:val="1F2937"/>
          <w:sz w:val="13"/>
        </w:rPr>
        <w:t xml:space="preserve">浙江大学. 人工智能（图灵班）专业培养方案（2020级）. 浙江大学计算机学院公开文件, 2020. </w:t>
      </w:r>
      <w:hyperlink r:id="rId24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http://www.cs.zju.edu.cn/_upload/article/files/b1/07/a409a90a493786ce1ff5c50a6469/2d3416cf-b6ae-4f55-883b-fc5cd1f1acfb.pdf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[P01] </w:t>
      </w:r>
      <w:r>
        <w:rPr>
          <w:rFonts w:ascii="Times New Roman" w:hAnsi="Times New Roman" w:eastAsia="宋体"/>
          <w:color w:val="1F2937"/>
          <w:sz w:val="13"/>
        </w:rPr>
        <w:t xml:space="preserve">Vaswani, A. et al.. Attention Is All You Need. NeurIPS 2017, 2017. </w:t>
      </w:r>
      <w:hyperlink r:id="rId25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https://arxiv.org/abs/1706.03762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[P03] </w:t>
      </w:r>
      <w:r>
        <w:rPr>
          <w:rFonts w:ascii="Times New Roman" w:hAnsi="Times New Roman" w:eastAsia="宋体"/>
          <w:color w:val="1F2937"/>
          <w:sz w:val="13"/>
        </w:rPr>
        <w:t xml:space="preserve">Brown, T. B. et al.. Language Models are Few-Shot Learners. NeurIPS 2020, 2020. </w:t>
      </w:r>
      <w:hyperlink r:id="rId26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https://arxiv.org/abs/2005.14165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[P05] </w:t>
      </w:r>
      <w:r>
        <w:rPr>
          <w:rFonts w:ascii="Times New Roman" w:hAnsi="Times New Roman" w:eastAsia="宋体"/>
          <w:color w:val="1F2937"/>
          <w:sz w:val="13"/>
        </w:rPr>
        <w:t xml:space="preserve">Hoffmann, J. et al.. Training Compute-Optimal Large Language Models. NeurIPS 2022, 2022. </w:t>
      </w:r>
      <w:hyperlink r:id="rId27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https://arxiv.org/abs/2203.15556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[P06] </w:t>
      </w:r>
      <w:r>
        <w:rPr>
          <w:rFonts w:ascii="Times New Roman" w:hAnsi="Times New Roman" w:eastAsia="宋体"/>
          <w:color w:val="1F2937"/>
          <w:sz w:val="13"/>
        </w:rPr>
        <w:t xml:space="preserve">Hu, E. J. et al.. LoRA: Low-Rank Adaptation of Large Language Models. ICLR 2022, 2022. </w:t>
      </w:r>
      <w:hyperlink r:id="rId28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https://arxiv.org/abs/2106.09685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[P08] </w:t>
      </w:r>
      <w:r>
        <w:rPr>
          <w:rFonts w:ascii="Times New Roman" w:hAnsi="Times New Roman" w:eastAsia="宋体"/>
          <w:color w:val="1F2937"/>
          <w:sz w:val="13"/>
        </w:rPr>
        <w:t xml:space="preserve">Rafailov, R. et al.. Direct Preference Optimization: Your Language Model is Secretly a Reward Model. NeurIPS 2023, 2023. </w:t>
      </w:r>
      <w:hyperlink r:id="rId29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https://arxiv.org/abs/2305.18290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[P09] </w:t>
      </w:r>
      <w:r>
        <w:rPr>
          <w:rFonts w:ascii="Times New Roman" w:hAnsi="Times New Roman" w:eastAsia="宋体"/>
          <w:color w:val="1F2937"/>
          <w:sz w:val="13"/>
        </w:rPr>
        <w:t xml:space="preserve">Ouyang, L. et al.. Training Language Models to Follow Instructions with Human Feedback. NeurIPS 2022, 2022. </w:t>
      </w:r>
      <w:hyperlink r:id="rId30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https://arxiv.org/abs/2203.02155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[P16] </w:t>
      </w:r>
      <w:r>
        <w:rPr>
          <w:rFonts w:ascii="Times New Roman" w:hAnsi="Times New Roman" w:eastAsia="宋体"/>
          <w:color w:val="1F2937"/>
          <w:sz w:val="13"/>
        </w:rPr>
        <w:t xml:space="preserve">Grattafiori, A. et al.. The Llama 3 Herd of Models. arXiv, 2024. </w:t>
      </w:r>
      <w:hyperlink r:id="rId31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https://arxiv.org/abs/2407.21783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[P19] </w:t>
      </w:r>
      <w:r>
        <w:rPr>
          <w:rFonts w:ascii="Times New Roman" w:hAnsi="Times New Roman" w:eastAsia="宋体"/>
          <w:color w:val="1F2937"/>
          <w:sz w:val="13"/>
        </w:rPr>
        <w:t xml:space="preserve">Ho, J.; Jain, A.; Abbeel, P.. Denoising Diffusion Probabilistic Models. NeurIPS 2020, 2020. </w:t>
      </w:r>
      <w:hyperlink r:id="rId32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https://arxiv.org/abs/2006.11239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[P23] </w:t>
      </w:r>
      <w:r>
        <w:rPr>
          <w:rFonts w:ascii="Times New Roman" w:hAnsi="Times New Roman" w:eastAsia="宋体"/>
          <w:color w:val="1F2937"/>
          <w:sz w:val="13"/>
        </w:rPr>
        <w:t xml:space="preserve">Lewis, P. et al.. Retrieval-Augmented Generation for Knowledge-Intensive NLP Tasks. NeurIPS 2020, 2020. </w:t>
      </w:r>
      <w:hyperlink r:id="rId33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https://arxiv.org/abs/2005.11401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[P26] </w:t>
      </w:r>
      <w:r>
        <w:rPr>
          <w:rFonts w:ascii="Times New Roman" w:hAnsi="Times New Roman" w:eastAsia="宋体"/>
          <w:color w:val="1F2937"/>
          <w:sz w:val="13"/>
        </w:rPr>
        <w:t xml:space="preserve">Liang, P. et al.. Holistic Evaluation of Language Models (HELM). TMLR 2023, 2022. </w:t>
      </w:r>
      <w:hyperlink r:id="rId34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https://arxiv.org/abs/2211.09110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[P27] </w:t>
      </w:r>
      <w:r>
        <w:rPr>
          <w:rFonts w:ascii="Times New Roman" w:hAnsi="Times New Roman" w:eastAsia="宋体"/>
          <w:color w:val="1F2937"/>
          <w:sz w:val="13"/>
        </w:rPr>
        <w:t xml:space="preserve">Hendrycks, D. et al.. Measuring Massive Multitask Language Understanding (MMLU). ICLR 2021, 2021. </w:t>
      </w:r>
      <w:hyperlink r:id="rId35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https://arxiv.org/abs/2009.03300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[P30] </w:t>
      </w:r>
      <w:r>
        <w:rPr>
          <w:rFonts w:ascii="Times New Roman" w:hAnsi="Times New Roman" w:eastAsia="宋体"/>
          <w:color w:val="1F2937"/>
          <w:sz w:val="13"/>
        </w:rPr>
        <w:t xml:space="preserve">Chen, M. et al.. Evaluating Large Language Models Trained on Code (HumanEval). arXiv, 2021. </w:t>
      </w:r>
      <w:hyperlink r:id="rId36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https://arxiv.org/abs/2107.03374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[P46] </w:t>
      </w:r>
      <w:r>
        <w:rPr>
          <w:rFonts w:ascii="Times New Roman" w:hAnsi="Times New Roman" w:eastAsia="宋体"/>
          <w:color w:val="1F2937"/>
          <w:sz w:val="13"/>
        </w:rPr>
        <w:t xml:space="preserve">Mitchell, M. et al.. Model Cards for Model Reporting. FAT* 2019, 2019. </w:t>
      </w:r>
      <w:hyperlink r:id="rId37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https://arxiv.org/abs/1810.03993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[S01] </w:t>
      </w:r>
      <w:r>
        <w:rPr>
          <w:rFonts w:ascii="Times New Roman" w:hAnsi="Times New Roman" w:eastAsia="宋体"/>
          <w:color w:val="1F2937"/>
          <w:sz w:val="13"/>
        </w:rPr>
        <w:t xml:space="preserve">PyTorch. PyTorch Documentation. 官方文档, 2026. </w:t>
      </w:r>
      <w:hyperlink r:id="rId38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https://pytorch.org/docs/stable/index.html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[S02] </w:t>
      </w:r>
      <w:r>
        <w:rPr>
          <w:rFonts w:ascii="Times New Roman" w:hAnsi="Times New Roman" w:eastAsia="宋体"/>
          <w:color w:val="1F2937"/>
          <w:sz w:val="13"/>
        </w:rPr>
        <w:t xml:space="preserve">Hugging Face. Transformers Documentation. 官方文档, 2026. </w:t>
      </w:r>
      <w:hyperlink r:id="rId39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https://huggingface.co/docs/transformers/index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[S06] </w:t>
      </w:r>
      <w:r>
        <w:rPr>
          <w:rFonts w:ascii="Times New Roman" w:hAnsi="Times New Roman" w:eastAsia="宋体"/>
          <w:color w:val="1F2937"/>
          <w:sz w:val="13"/>
        </w:rPr>
        <w:t xml:space="preserve">Microsoft. DeepSpeed. 官方文档, 2026. </w:t>
      </w:r>
      <w:hyperlink r:id="rId40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https://www.deepspeed.ai/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[S08] </w:t>
      </w:r>
      <w:r>
        <w:rPr>
          <w:rFonts w:ascii="Times New Roman" w:hAnsi="Times New Roman" w:eastAsia="宋体"/>
          <w:color w:val="1F2937"/>
          <w:sz w:val="13"/>
        </w:rPr>
        <w:t xml:space="preserve">vLLM Project. vLLM Documentation. 官方文档, 2026. </w:t>
      </w:r>
      <w:hyperlink r:id="rId41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https://docs.vllm.ai/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[D03] </w:t>
      </w:r>
      <w:r>
        <w:rPr>
          <w:rFonts w:ascii="Times New Roman" w:hAnsi="Times New Roman" w:eastAsia="宋体"/>
          <w:color w:val="1F2937"/>
          <w:sz w:val="13"/>
        </w:rPr>
        <w:t xml:space="preserve">EleutherAI. The Pile. 官方网站, 2020. </w:t>
      </w:r>
      <w:hyperlink r:id="rId42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https://pile.eleuther.ai/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[D06] </w:t>
      </w:r>
      <w:r>
        <w:rPr>
          <w:rFonts w:ascii="Times New Roman" w:hAnsi="Times New Roman" w:eastAsia="宋体"/>
          <w:color w:val="1F2937"/>
          <w:sz w:val="13"/>
        </w:rPr>
        <w:t xml:space="preserve">Stanford Vision Lab et al.. ImageNet. 官方网站, 2026. </w:t>
      </w:r>
      <w:hyperlink r:id="rId43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https://www.image-net.org/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[D13] </w:t>
      </w:r>
      <w:r>
        <w:rPr>
          <w:rFonts w:ascii="Times New Roman" w:hAnsi="Times New Roman" w:eastAsia="宋体"/>
          <w:color w:val="1F2937"/>
          <w:sz w:val="13"/>
        </w:rPr>
        <w:t xml:space="preserve">LMArena. Chatbot Arena. 官方网站, 2026. </w:t>
      </w:r>
      <w:hyperlink r:id="rId44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https://lmarena.ai/</w:t>
        </w:r>
      </w:hyperlink>
    </w:p>
    <w:p>
      <w:pPr>
        <w:spacing w:after="16" w:line="252" w:lineRule="auto"/>
        <w:ind w:left="312" w:hanging="312"/>
      </w:pPr>
      <w:r>
        <w:rPr>
          <w:rFonts w:ascii="微软雅黑" w:hAnsi="微软雅黑" w:eastAsia="微软雅黑"/>
          <w:b/>
          <w:color w:val="C2711A"/>
          <w:sz w:val="13"/>
        </w:rPr>
        <w:t xml:space="preserve">[G01] </w:t>
      </w:r>
      <w:r>
        <w:rPr>
          <w:rFonts w:ascii="Times New Roman" w:hAnsi="Times New Roman" w:eastAsia="宋体"/>
          <w:color w:val="1F2937"/>
          <w:sz w:val="13"/>
        </w:rPr>
        <w:t xml:space="preserve">NIST. AI Risk Management Framework (AI RMF 1.0). NIST, 2023. </w:t>
      </w:r>
      <w:hyperlink r:id="rId45">
        <w:r>
          <w:rPr>
            <w:rFonts w:ascii="Times New Roman" w:hAnsi="Times New Roman" w:eastAsia="宋体"/>
            <w:color w:val="1E40AF"/>
            <w:sz w:val="12"/>
            <w:u w:val="single"/>
          </w:rPr>
          <w:t xml:space="preserve">https://www.nist.gov/itl/ai-risk-management-framework</w:t>
        </w:r>
      </w:hyperlink>
    </w:p>
    <w:p>
      <w:pPr>
        <w:spacing w:before="40"/>
      </w:pPr>
      <w:r>
        <w:rPr>
          <w:rFonts w:ascii="微软雅黑" w:hAnsi="微软雅黑" w:eastAsia="微软雅黑"/>
          <w:color w:val="6B7280"/>
          <w:sz w:val="14"/>
        </w:rPr>
        <w:t>完整 148 条来源、A/B/C 证据分级与访问日期见长版《AI 模型构建：领域地图、工具链与学习路径》附录 C。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992" w:right="992" w:bottom="879" w:left="992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6B7280"/>
        <w:sz w:val="16"/>
      </w:rPr>
      <w:t xml:space="preserve">第 </w:t>
    </w:r>
    <w:r>
      <w:rPr>
        <w:rFonts w:ascii="微软雅黑" w:hAnsi="微软雅黑" w:eastAsia="微软雅黑"/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/>
        <w:color w:val="6B7280"/>
        <w:sz w:val="16"/>
      </w:rPr>
      <w:t xml:space="preserve"> 页  /  共 </w:t>
    </w:r>
    <w:r>
      <w:rPr>
        <w:rFonts w:ascii="微软雅黑" w:hAnsi="微软雅黑" w:eastAsia="微软雅黑"/>
        <w:color w:val="6B7280"/>
        <w:sz w:val="16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68" w:val="right"/>
      </w:tabs>
      <w:pBdr>
        <w:bottom w:val="single" w:sz="4" w:space="1" w:color="D9D4C8"/>
      </w:pBdr>
    </w:pPr>
    <w:r/>
    <w:r>
      <w:rPr>
        <w:rFonts w:ascii="微软雅黑" w:hAnsi="微软雅黑" w:eastAsia="微软雅黑"/>
        <w:color w:val="6B7280"/>
        <w:sz w:val="16"/>
      </w:rPr>
      <w:t>AI 模型构建 · 领域地图</w:t>
    </w:r>
    <w:r>
      <w:rPr>
        <w:rFonts w:ascii="微软雅黑" w:hAnsi="微软雅黑" w:eastAsia="微软雅黑"/>
        <w:color w:val="6B7280"/>
        <w:sz w:val="16"/>
      </w:rPr>
      <w:tab/>
      <w:t>2026-10-22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50"/>
    </w:pPr>
    <w:rPr>
      <w:rFonts w:ascii="Times New Roman" w:hAnsi="Times New Roman" w:eastAsia="宋体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cs336.stanford.edu/" TargetMode="External"/><Relationship Id="rId16" Type="http://schemas.openxmlformats.org/officeDocument/2006/relationships/hyperlink" Target="https://web.stanford.edu/class/cs224n/" TargetMode="External"/><Relationship Id="rId17" Type="http://schemas.openxmlformats.org/officeDocument/2006/relationships/hyperlink" Target="https://introtodeeplearning.com/" TargetMode="External"/><Relationship Id="rId18" Type="http://schemas.openxmlformats.org/officeDocument/2006/relationships/hyperlink" Target="https://phillipi.github.io/6.7960/" TargetMode="External"/><Relationship Id="rId19" Type="http://schemas.openxmlformats.org/officeDocument/2006/relationships/hyperlink" Target="https://coursecatalog.web.cmu.edu/search/?P=10-701" TargetMode="External"/><Relationship Id="rId20" Type="http://schemas.openxmlformats.org/officeDocument/2006/relationships/hyperlink" Target="https://www2.eecs.berkeley.edu/Courses/CS189/" TargetMode="External"/><Relationship Id="rId21" Type="http://schemas.openxmlformats.org/officeDocument/2006/relationships/hyperlink" Target="https://rail.eecs.berkeley.edu/deeprlcourse/" TargetMode="External"/><Relationship Id="rId22" Type="http://schemas.openxmlformats.org/officeDocument/2006/relationships/hyperlink" Target="https://www.tsinghua.edu.cn/jxjywj/bkzy2022/zxzy/29-3.pdf" TargetMode="External"/><Relationship Id="rId23" Type="http://schemas.openxmlformats.org/officeDocument/2006/relationships/hyperlink" Target="http://www.dean.pku.edu.cn/userfiles/upload/download/202309010917575972.pdf" TargetMode="External"/><Relationship Id="rId24" Type="http://schemas.openxmlformats.org/officeDocument/2006/relationships/hyperlink" Target="http://www.cs.zju.edu.cn/_upload/article/files/b1/07/a409a90a493786ce1ff5c50a6469/2d3416cf-b6ae-4f55-883b-fc5cd1f1acfb.pdf" TargetMode="External"/><Relationship Id="rId25" Type="http://schemas.openxmlformats.org/officeDocument/2006/relationships/hyperlink" Target="https://arxiv.org/abs/1706.03762" TargetMode="External"/><Relationship Id="rId26" Type="http://schemas.openxmlformats.org/officeDocument/2006/relationships/hyperlink" Target="https://arxiv.org/abs/2005.14165" TargetMode="External"/><Relationship Id="rId27" Type="http://schemas.openxmlformats.org/officeDocument/2006/relationships/hyperlink" Target="https://arxiv.org/abs/2203.15556" TargetMode="External"/><Relationship Id="rId28" Type="http://schemas.openxmlformats.org/officeDocument/2006/relationships/hyperlink" Target="https://arxiv.org/abs/2106.09685" TargetMode="External"/><Relationship Id="rId29" Type="http://schemas.openxmlformats.org/officeDocument/2006/relationships/hyperlink" Target="https://arxiv.org/abs/2305.18290" TargetMode="External"/><Relationship Id="rId30" Type="http://schemas.openxmlformats.org/officeDocument/2006/relationships/hyperlink" Target="https://arxiv.org/abs/2203.02155" TargetMode="External"/><Relationship Id="rId31" Type="http://schemas.openxmlformats.org/officeDocument/2006/relationships/hyperlink" Target="https://arxiv.org/abs/2407.21783" TargetMode="External"/><Relationship Id="rId32" Type="http://schemas.openxmlformats.org/officeDocument/2006/relationships/hyperlink" Target="https://arxiv.org/abs/2006.11239" TargetMode="External"/><Relationship Id="rId33" Type="http://schemas.openxmlformats.org/officeDocument/2006/relationships/hyperlink" Target="https://arxiv.org/abs/2005.11401" TargetMode="External"/><Relationship Id="rId34" Type="http://schemas.openxmlformats.org/officeDocument/2006/relationships/hyperlink" Target="https://arxiv.org/abs/2211.09110" TargetMode="External"/><Relationship Id="rId35" Type="http://schemas.openxmlformats.org/officeDocument/2006/relationships/hyperlink" Target="https://arxiv.org/abs/2009.03300" TargetMode="External"/><Relationship Id="rId36" Type="http://schemas.openxmlformats.org/officeDocument/2006/relationships/hyperlink" Target="https://arxiv.org/abs/2107.03374" TargetMode="External"/><Relationship Id="rId37" Type="http://schemas.openxmlformats.org/officeDocument/2006/relationships/hyperlink" Target="https://arxiv.org/abs/1810.03993" TargetMode="External"/><Relationship Id="rId38" Type="http://schemas.openxmlformats.org/officeDocument/2006/relationships/hyperlink" Target="https://pytorch.org/docs/stable/index.html" TargetMode="External"/><Relationship Id="rId39" Type="http://schemas.openxmlformats.org/officeDocument/2006/relationships/hyperlink" Target="https://huggingface.co/docs/transformers/index" TargetMode="External"/><Relationship Id="rId40" Type="http://schemas.openxmlformats.org/officeDocument/2006/relationships/hyperlink" Target="https://www.deepspeed.ai/" TargetMode="External"/><Relationship Id="rId41" Type="http://schemas.openxmlformats.org/officeDocument/2006/relationships/hyperlink" Target="https://docs.vllm.ai/" TargetMode="External"/><Relationship Id="rId42" Type="http://schemas.openxmlformats.org/officeDocument/2006/relationships/hyperlink" Target="https://pile.eleuther.ai/" TargetMode="External"/><Relationship Id="rId43" Type="http://schemas.openxmlformats.org/officeDocument/2006/relationships/hyperlink" Target="https://www.image-net.org/" TargetMode="External"/><Relationship Id="rId44" Type="http://schemas.openxmlformats.org/officeDocument/2006/relationships/hyperlink" Target="https://lmarena.ai/" TargetMode="External"/><Relationship Id="rId45" Type="http://schemas.openxmlformats.org/officeDocument/2006/relationships/hyperlink" Target="https://www.nist.gov/itl/ai-risk-management-fram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