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422093">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422093">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422093">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422093">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422093">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422093">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422093">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422093">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422093">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422093">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422093">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422093">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422093">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422093">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422093">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422093">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422093">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422093">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422093">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422093">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422093">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422093">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422093">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422093">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422093">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422093">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422093">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422093">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422093">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422093">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422093">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422093">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422093">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422093">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422093">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422093">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422093">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422093">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422093">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422093">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422093">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422093">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422093">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422093">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422093">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422093">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422093">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422093">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422093">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422093">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422093">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422093">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422093">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422093">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422093">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422093">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422093">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422093">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422093">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422093">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422093">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422093">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422093">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422093">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422093">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422093">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422093">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422093">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422093">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422093">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422093">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422093">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422093">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422093">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422093">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422093">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422093">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422093">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422093">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422093">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422093">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422093">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422093">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422093">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422093">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422093">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422093">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422093">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422093">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422093">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422093">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422093">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422093">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422093">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422093">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422093">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422093">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422093">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422093">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422093">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422093">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422093">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422093">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422093">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422093">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422093">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422093">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422093">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422093">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422093">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422093">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422093">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422093">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422093">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422093">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422093">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422093">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422093">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422093">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422093">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422093">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422093">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422093">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422093">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422093">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422093">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422093">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422093">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422093">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422093">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422093">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422093">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422093">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422093">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422093">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422093">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422093">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422093">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422093">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422093">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422093">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422093">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422093">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422093">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422093">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422093">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422093">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422093">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422093">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422093">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422093">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422093">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422093">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422093">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422093">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422093">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422093">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422093">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422093">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422093">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422093">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422093">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422093">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422093">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422093">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422093">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422093">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422093">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422093">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422093">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422093">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422093">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422093">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422093">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422093">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422093">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422093">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422093">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422093">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422093">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422093">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422093">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422093">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422093">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422093">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422093">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422093">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422093">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422093">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422093">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422093">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422093">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422093">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422093">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422093">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422093">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422093">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422093">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422093">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422093">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422093">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422093">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422093">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422093">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422093">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422093">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422093">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w:t>
      </w:r>
      <w:bookmarkStart w:id="35" w:name="_GoBack"/>
      <w:bookmarkEnd w:id="35"/>
      <w:r w:rsidRPr="00FF76FC">
        <w:rPr>
          <w:color w:val="000000" w:themeColor="text1"/>
          <w:sz w:val="22"/>
          <w:szCs w:val="22"/>
        </w:rPr>
        <w:t>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1151E" w14:textId="77777777" w:rsidR="002359B0" w:rsidRDefault="002359B0" w:rsidP="001D57EC">
      <w:r>
        <w:separator/>
      </w:r>
    </w:p>
  </w:endnote>
  <w:endnote w:type="continuationSeparator" w:id="0">
    <w:p w14:paraId="7C895E4D" w14:textId="77777777" w:rsidR="002359B0" w:rsidRDefault="002359B0"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8117" w14:textId="77777777" w:rsidR="002359B0" w:rsidRDefault="002359B0" w:rsidP="001D57EC">
      <w:r>
        <w:separator/>
      </w:r>
    </w:p>
  </w:footnote>
  <w:footnote w:type="continuationSeparator" w:id="0">
    <w:p w14:paraId="2FCEB16C" w14:textId="77777777" w:rsidR="002359B0" w:rsidRDefault="002359B0"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A51B7F" w:rsidRDefault="00A51B7F"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4A9E"/>
    <w:rsid w:val="00044FCE"/>
    <w:rsid w:val="0006721C"/>
    <w:rsid w:val="0006782F"/>
    <w:rsid w:val="00067FDD"/>
    <w:rsid w:val="00076A9A"/>
    <w:rsid w:val="00080C47"/>
    <w:rsid w:val="00081C6F"/>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E2"/>
    <w:rsid w:val="00157BBF"/>
    <w:rsid w:val="0017346D"/>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830CC"/>
    <w:rsid w:val="00684B4A"/>
    <w:rsid w:val="00695302"/>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6685"/>
    <w:rsid w:val="00A4688E"/>
    <w:rsid w:val="00A46D34"/>
    <w:rsid w:val="00A476B0"/>
    <w:rsid w:val="00A506F9"/>
    <w:rsid w:val="00A50E4F"/>
    <w:rsid w:val="00A51B7F"/>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14CE2-9B45-1B4C-A2CE-DD76E650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322</Pages>
  <Words>154349</Words>
  <Characters>839663</Characters>
  <Application>Microsoft Macintosh Word</Application>
  <DocSecurity>0</DocSecurity>
  <Lines>12722</Lines>
  <Paragraphs>1567</Paragraphs>
  <ScaleCrop>false</ScaleCrop>
  <Company/>
  <LinksUpToDate>false</LinksUpToDate>
  <CharactersWithSpaces>992445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86</cp:revision>
  <cp:lastPrinted>2013-05-12T01:13:00Z</cp:lastPrinted>
  <dcterms:created xsi:type="dcterms:W3CDTF">2012-12-28T11:07:00Z</dcterms:created>
  <dcterms:modified xsi:type="dcterms:W3CDTF">2017-06-04T10:11:00Z</dcterms:modified>
</cp:coreProperties>
</file>