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D15898">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D15898">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D15898">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D15898">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D15898">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D15898">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D15898">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D15898">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D15898">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D15898">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D15898">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D15898">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D15898">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D15898">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D15898">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D15898">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D15898">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D15898">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D15898">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D15898">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D15898">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D15898">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D15898">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D15898">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D15898">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D15898">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D15898">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D15898">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D15898">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D15898">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D15898">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D15898">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D15898">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D15898">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D15898">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D15898">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D15898">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D15898">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D15898">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D15898">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D15898">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D15898">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D15898">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D15898">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D15898">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D15898">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D15898">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D15898">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D15898">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D15898">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D15898">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D15898">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D15898">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D15898">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D15898">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D15898">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D15898">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D15898">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D15898">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D15898">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D15898">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D15898">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D15898">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D15898">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D15898">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D15898">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D15898">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D15898">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D15898">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D15898">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D15898">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D15898">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D15898">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D15898">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D15898">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D15898">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D15898">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D15898">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D15898">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D15898">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D15898">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D15898">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D15898">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D15898">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D15898">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D15898">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D15898">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D15898">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D15898">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D15898">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D15898">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D15898">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D15898">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D15898">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D15898">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D15898">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D15898">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D15898">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D15898">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D15898">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D15898">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D15898">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D15898">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D15898">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D15898">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D15898">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D15898">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D15898">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D15898">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D15898">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D15898">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D15898">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D15898">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D15898">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D15898">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D15898">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D15898">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D15898">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D15898">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D15898">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D15898">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D15898">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D15898">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D15898">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D15898">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D15898">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D15898">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D15898">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D15898">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D15898">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D15898">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D15898">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D15898">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D15898">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D15898">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D15898">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D15898">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D15898">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D15898">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D15898">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D15898">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D15898">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D15898">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D15898">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D15898">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D15898">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D15898">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D15898">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D15898">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D15898">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D15898">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D15898">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D15898">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D15898">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D15898">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D15898">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D15898">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D15898">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D15898">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D15898">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D15898">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D15898">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D15898">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D15898">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D15898">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D15898">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D15898">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D15898">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D15898">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D15898">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D15898">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D15898">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D15898">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D15898">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D15898">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D15898">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D15898">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D15898">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D15898">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D15898">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D15898">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D15898">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D15898">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D15898">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D15898">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D15898">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D15898">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D15898">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D15898">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D15898">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D15898">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D15898">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D15898">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D15898">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D15898">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D15898">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D15898">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D15898">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D15898">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D15898">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D15898">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D15898">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D15898">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D15898">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D15898">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D15898">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D15898">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0" w:name="_Toc392067418"/>
      <w:r w:rsidRPr="00FF76FC">
        <w:rPr>
          <w:rFonts w:ascii="Times New Roman" w:hAnsi="Times New Roman" w:cs="Times New Roman"/>
          <w:color w:val="000000" w:themeColor="text1"/>
          <w:sz w:val="22"/>
          <w:szCs w:val="22"/>
        </w:rPr>
        <w:lastRenderedPageBreak/>
        <w:t>Of Homer’s two epic poems,</w:t>
      </w:r>
      <w:bookmarkEnd w:id="40"/>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9"/>
      <w:r w:rsidRPr="00FF76FC">
        <w:rPr>
          <w:rFonts w:ascii="Times New Roman" w:hAnsi="Times New Roman" w:cs="Times New Roman"/>
          <w:color w:val="000000" w:themeColor="text1"/>
          <w:sz w:val="22"/>
          <w:szCs w:val="22"/>
        </w:rPr>
        <w:lastRenderedPageBreak/>
        <w:t>Ragtime is a musical form</w:t>
      </w:r>
      <w:bookmarkEnd w:id="41"/>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20"/>
      <w:r w:rsidRPr="00FF76FC">
        <w:rPr>
          <w:rFonts w:ascii="Times New Roman" w:hAnsi="Times New Roman" w:cs="Times New Roman"/>
          <w:color w:val="000000" w:themeColor="text1"/>
          <w:sz w:val="22"/>
          <w:szCs w:val="22"/>
        </w:rPr>
        <w:lastRenderedPageBreak/>
        <w:t>That Louise Nevelson is believed</w:t>
      </w:r>
      <w:bookmarkEnd w:id="42"/>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1"/>
      <w:r w:rsidRPr="00FF76FC">
        <w:rPr>
          <w:rFonts w:ascii="Times New Roman" w:hAnsi="Times New Roman" w:cs="Times New Roman"/>
          <w:color w:val="000000" w:themeColor="text1"/>
          <w:sz w:val="22"/>
          <w:szCs w:val="22"/>
        </w:rPr>
        <w:lastRenderedPageBreak/>
        <w:t>When speaking of Romare Bearden</w:t>
      </w:r>
      <w:bookmarkEnd w:id="43"/>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2"/>
      <w:r w:rsidRPr="00FF76FC">
        <w:rPr>
          <w:rFonts w:ascii="Times New Roman" w:hAnsi="Times New Roman" w:cs="Times New Roman"/>
          <w:color w:val="000000" w:themeColor="text1"/>
          <w:sz w:val="22"/>
          <w:szCs w:val="22"/>
        </w:rPr>
        <w:lastRenderedPageBreak/>
        <w:t>The common belief of some linguists</w:t>
      </w:r>
      <w:bookmarkEnd w:id="44"/>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3"/>
      <w:r w:rsidRPr="00FF76FC">
        <w:rPr>
          <w:rFonts w:ascii="Times New Roman" w:hAnsi="Times New Roman" w:cs="Times New Roman"/>
          <w:color w:val="000000" w:themeColor="text1"/>
          <w:sz w:val="22"/>
          <w:szCs w:val="22"/>
        </w:rPr>
        <w:lastRenderedPageBreak/>
        <w:t>Isadora Duncan’s masterly</w:t>
      </w:r>
      <w:bookmarkEnd w:id="45"/>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4"/>
      <w:r w:rsidRPr="00FF76FC">
        <w:rPr>
          <w:rFonts w:ascii="Times New Roman" w:hAnsi="Times New Roman" w:cs="Times New Roman"/>
          <w:color w:val="000000" w:themeColor="text1"/>
          <w:sz w:val="22"/>
          <w:szCs w:val="22"/>
        </w:rPr>
        <w:lastRenderedPageBreak/>
        <w:t>Present-day philosophers usually</w:t>
      </w:r>
      <w:bookmarkEnd w:id="46"/>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lastRenderedPageBreak/>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5"/>
      <w:r w:rsidRPr="00FF76FC">
        <w:rPr>
          <w:rFonts w:ascii="Times New Roman" w:hAnsi="Times New Roman" w:cs="Times New Roman"/>
          <w:color w:val="000000" w:themeColor="text1"/>
          <w:sz w:val="22"/>
          <w:szCs w:val="22"/>
        </w:rPr>
        <w:lastRenderedPageBreak/>
        <w:t>Although a historical lack</w:t>
      </w:r>
      <w:bookmarkEnd w:id="47"/>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6"/>
      <w:r w:rsidRPr="00FF76FC">
        <w:rPr>
          <w:rFonts w:ascii="Times New Roman" w:hAnsi="Times New Roman" w:cs="Times New Roman"/>
          <w:color w:val="000000" w:themeColor="text1"/>
          <w:sz w:val="22"/>
          <w:szCs w:val="22"/>
        </w:rPr>
        <w:lastRenderedPageBreak/>
        <w:t>It is their sensitive response</w:t>
      </w:r>
      <w:bookmarkEnd w:id="48"/>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7"/>
      <w:r w:rsidRPr="00FF76FC">
        <w:rPr>
          <w:rFonts w:ascii="Times New Roman" w:hAnsi="Times New Roman" w:cs="Times New Roman"/>
          <w:color w:val="000000" w:themeColor="text1"/>
          <w:sz w:val="22"/>
          <w:szCs w:val="22"/>
        </w:rPr>
        <w:lastRenderedPageBreak/>
        <w:t>This is not to deny that the</w:t>
      </w:r>
      <w:bookmarkEnd w:id="49"/>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8"/>
      <w:r w:rsidRPr="00FF76FC">
        <w:rPr>
          <w:rFonts w:ascii="Times New Roman" w:hAnsi="Times New Roman" w:cs="Times New Roman"/>
          <w:color w:val="000000" w:themeColor="text1"/>
          <w:sz w:val="22"/>
          <w:szCs w:val="22"/>
        </w:rPr>
        <w:lastRenderedPageBreak/>
        <w:t>By the time the American</w:t>
      </w:r>
      <w:bookmarkEnd w:id="50"/>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9"/>
      <w:r w:rsidRPr="00FF76FC">
        <w:rPr>
          <w:rFonts w:ascii="Times New Roman" w:hAnsi="Times New Roman" w:cs="Times New Roman"/>
          <w:color w:val="000000" w:themeColor="text1"/>
          <w:sz w:val="22"/>
          <w:szCs w:val="22"/>
        </w:rPr>
        <w:lastRenderedPageBreak/>
        <w:t>Tocqueville, apparently, was wrong.</w:t>
      </w:r>
      <w:bookmarkEnd w:id="51"/>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30"/>
      <w:r w:rsidRPr="00FF76FC">
        <w:rPr>
          <w:rFonts w:ascii="Times New Roman" w:hAnsi="Times New Roman" w:cs="Times New Roman"/>
          <w:color w:val="000000" w:themeColor="text1"/>
          <w:sz w:val="22"/>
          <w:szCs w:val="22"/>
        </w:rPr>
        <w:lastRenderedPageBreak/>
        <w:t>In large part as a consequence</w:t>
      </w:r>
      <w:bookmarkEnd w:id="52"/>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24</w:t>
      </w:r>
      <w:r w:rsidRPr="00FF76FC">
        <w:rPr>
          <w:color w:val="000000" w:themeColor="text1"/>
          <w:sz w:val="22"/>
          <w:szCs w:val="22"/>
        </w:rPr>
        <w:t>.</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1"/>
      <w:r w:rsidRPr="00FF76FC">
        <w:rPr>
          <w:rFonts w:ascii="Times New Roman" w:hAnsi="Times New Roman" w:cs="Times New Roman"/>
          <w:color w:val="000000" w:themeColor="text1"/>
          <w:sz w:val="22"/>
          <w:szCs w:val="22"/>
        </w:rPr>
        <w:lastRenderedPageBreak/>
        <w:t>Traditional research has confronted</w:t>
      </w:r>
      <w:bookmarkEnd w:id="53"/>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2"/>
      <w:r w:rsidRPr="00FF76FC">
        <w:rPr>
          <w:rFonts w:ascii="Times New Roman" w:hAnsi="Times New Roman" w:cs="Times New Roman"/>
          <w:color w:val="000000" w:themeColor="text1"/>
          <w:sz w:val="22"/>
          <w:szCs w:val="22"/>
        </w:rPr>
        <w:lastRenderedPageBreak/>
        <w:t>Throughout human history</w:t>
      </w:r>
      <w:bookmarkEnd w:id="54"/>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652F6D">
        <w:rPr>
          <w:color w:val="000000" w:themeColor="text1"/>
          <w:sz w:val="22"/>
          <w:szCs w:val="22"/>
          <w:highlight w:val="yellow"/>
        </w:rPr>
        <w:t>26.</w:t>
      </w:r>
      <w:r w:rsidRPr="00FF76FC">
        <w:rPr>
          <w:color w:val="000000" w:themeColor="text1"/>
          <w:sz w:val="22"/>
          <w:szCs w:val="22"/>
        </w:rPr>
        <w:tab/>
        <w:t xml:space="preserve">In developing the main idea of the passage, the author </w:t>
      </w:r>
      <w:r w:rsidRPr="00652F6D">
        <w:rPr>
          <w:b/>
          <w:color w:val="000000" w:themeColor="text1"/>
          <w:sz w:val="22"/>
          <w:szCs w:val="22"/>
        </w:rPr>
        <w:t>does</w:t>
      </w:r>
      <w:r w:rsidRPr="00FF76FC">
        <w:rPr>
          <w:color w:val="000000" w:themeColor="text1"/>
          <w:sz w:val="22"/>
          <w:szCs w:val="22"/>
        </w:rPr>
        <w:t xml:space="preserve">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3"/>
      <w:r w:rsidRPr="00FF76FC">
        <w:rPr>
          <w:rFonts w:ascii="Times New Roman" w:hAnsi="Times New Roman" w:cs="Times New Roman"/>
          <w:color w:val="000000" w:themeColor="text1"/>
          <w:sz w:val="22"/>
          <w:szCs w:val="22"/>
        </w:rPr>
        <w:lastRenderedPageBreak/>
        <w:t>The recent change to all-volunteer</w:t>
      </w:r>
      <w:bookmarkEnd w:id="55"/>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4"/>
      <w:r w:rsidRPr="00FF76FC">
        <w:rPr>
          <w:rFonts w:ascii="Times New Roman" w:hAnsi="Times New Roman" w:cs="Times New Roman"/>
          <w:color w:val="000000" w:themeColor="text1"/>
          <w:sz w:val="22"/>
          <w:szCs w:val="22"/>
        </w:rPr>
        <w:lastRenderedPageBreak/>
        <w:t>Although the development of new</w:t>
      </w:r>
      <w:bookmarkEnd w:id="56"/>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5"/>
      <w:r w:rsidRPr="00FF76FC">
        <w:rPr>
          <w:rFonts w:ascii="Times New Roman" w:hAnsi="Times New Roman" w:cs="Times New Roman"/>
          <w:color w:val="000000" w:themeColor="text1"/>
          <w:sz w:val="22"/>
          <w:szCs w:val="22"/>
        </w:rPr>
        <w:lastRenderedPageBreak/>
        <w:t>Writing of the Iroquois nation,</w:t>
      </w:r>
      <w:bookmarkEnd w:id="57"/>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8" w:name="OLE_LINK1"/>
      <w:r w:rsidRPr="00FF76FC">
        <w:rPr>
          <w:color w:val="000000" w:themeColor="text1"/>
          <w:sz w:val="22"/>
          <w:szCs w:val="22"/>
        </w:rPr>
        <w:t>h</w:t>
      </w:r>
      <w:bookmarkEnd w:id="58"/>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9" w:name="_Toc392067436"/>
      <w:r w:rsidRPr="00FF76FC">
        <w:rPr>
          <w:rFonts w:ascii="Times New Roman" w:hAnsi="Times New Roman" w:cs="Times New Roman"/>
          <w:color w:val="000000" w:themeColor="text1"/>
          <w:sz w:val="22"/>
          <w:szCs w:val="22"/>
        </w:rPr>
        <w:lastRenderedPageBreak/>
        <w:t>The age at which young children</w:t>
      </w:r>
      <w:bookmarkEnd w:id="59"/>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745C72">
        <w:rPr>
          <w:color w:val="000000" w:themeColor="text1"/>
          <w:sz w:val="22"/>
          <w:szCs w:val="22"/>
          <w:highlight w:val="yellow"/>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lastRenderedPageBreak/>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7"/>
      <w:r w:rsidRPr="00FF76FC">
        <w:rPr>
          <w:rFonts w:ascii="Times New Roman" w:hAnsi="Times New Roman" w:cs="Times New Roman"/>
          <w:color w:val="000000" w:themeColor="text1"/>
          <w:sz w:val="22"/>
          <w:szCs w:val="22"/>
        </w:rPr>
        <w:lastRenderedPageBreak/>
        <w:t>Allen and Wolkowitz’s research</w:t>
      </w:r>
      <w:bookmarkEnd w:id="60"/>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460FF9">
        <w:rPr>
          <w:color w:val="000000" w:themeColor="text1"/>
          <w:sz w:val="22"/>
          <w:szCs w:val="22"/>
          <w:highlight w:val="yellow"/>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8"/>
      <w:r w:rsidRPr="00FF76FC">
        <w:rPr>
          <w:rFonts w:ascii="Times New Roman" w:hAnsi="Times New Roman" w:cs="Times New Roman"/>
          <w:color w:val="000000" w:themeColor="text1"/>
          <w:sz w:val="22"/>
          <w:szCs w:val="22"/>
        </w:rPr>
        <w:lastRenderedPageBreak/>
        <w:t>The whole biosphere, like</w:t>
      </w:r>
      <w:bookmarkEnd w:id="61"/>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806A56">
        <w:rPr>
          <w:color w:val="000000" w:themeColor="text1"/>
          <w:sz w:val="22"/>
          <w:szCs w:val="22"/>
          <w:highlight w:val="yellow"/>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9"/>
      <w:r w:rsidRPr="00FF76FC">
        <w:rPr>
          <w:rFonts w:ascii="Times New Roman" w:hAnsi="Times New Roman" w:cs="Times New Roman"/>
          <w:color w:val="000000" w:themeColor="text1"/>
          <w:sz w:val="22"/>
          <w:szCs w:val="22"/>
        </w:rPr>
        <w:lastRenderedPageBreak/>
        <w:t>It has long been known</w:t>
      </w:r>
      <w:bookmarkEnd w:id="62"/>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23</w:t>
      </w:r>
      <w:r w:rsidRPr="00FF76FC">
        <w:rPr>
          <w:color w:val="000000" w:themeColor="text1"/>
          <w:sz w:val="22"/>
          <w:szCs w:val="22"/>
        </w:rPr>
        <w:t>.</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C144A7">
        <w:rPr>
          <w:color w:val="000000" w:themeColor="text1"/>
          <w:sz w:val="22"/>
          <w:szCs w:val="22"/>
          <w:highlight w:val="yellow"/>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40"/>
      <w:r w:rsidRPr="00FF76FC">
        <w:rPr>
          <w:rFonts w:ascii="Times New Roman" w:hAnsi="Times New Roman" w:cs="Times New Roman"/>
          <w:color w:val="000000" w:themeColor="text1"/>
          <w:sz w:val="22"/>
          <w:szCs w:val="22"/>
        </w:rPr>
        <w:lastRenderedPageBreak/>
        <w:t>When the same parameters</w:t>
      </w:r>
      <w:bookmarkEnd w:id="63"/>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1"/>
      <w:r w:rsidRPr="00FF76FC">
        <w:rPr>
          <w:rFonts w:ascii="Times New Roman" w:hAnsi="Times New Roman" w:cs="Times New Roman"/>
          <w:color w:val="000000" w:themeColor="text1"/>
          <w:sz w:val="22"/>
          <w:szCs w:val="22"/>
        </w:rPr>
        <w:lastRenderedPageBreak/>
        <w:t>The deep sea typically has</w:t>
      </w:r>
      <w:bookmarkEnd w:id="64"/>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2"/>
      <w:r w:rsidRPr="00FF76FC">
        <w:rPr>
          <w:rFonts w:ascii="Times New Roman" w:hAnsi="Times New Roman" w:cs="Times New Roman"/>
          <w:color w:val="000000" w:themeColor="text1"/>
          <w:sz w:val="22"/>
          <w:szCs w:val="22"/>
        </w:rPr>
        <w:lastRenderedPageBreak/>
        <w:t>Since the Hawaiian Islands have never</w:t>
      </w:r>
      <w:bookmarkEnd w:id="65"/>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3"/>
      <w:r w:rsidRPr="00FF76FC">
        <w:rPr>
          <w:rFonts w:ascii="Times New Roman" w:hAnsi="Times New Roman" w:cs="Times New Roman"/>
          <w:color w:val="000000" w:themeColor="text1"/>
          <w:sz w:val="22"/>
          <w:szCs w:val="22"/>
        </w:rPr>
        <w:lastRenderedPageBreak/>
        <w:t>Viruses, infectious particles consisting</w:t>
      </w:r>
      <w:bookmarkEnd w:id="66"/>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4"/>
      <w:r w:rsidRPr="00FF76FC">
        <w:rPr>
          <w:rFonts w:ascii="Times New Roman" w:hAnsi="Times New Roman" w:cs="Times New Roman"/>
          <w:color w:val="000000" w:themeColor="text1"/>
          <w:sz w:val="22"/>
          <w:szCs w:val="22"/>
        </w:rPr>
        <w:lastRenderedPageBreak/>
        <w:t>One of the questions of interest</w:t>
      </w:r>
      <w:bookmarkEnd w:id="67"/>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191F56">
        <w:rPr>
          <w:b/>
          <w:color w:val="000000" w:themeColor="text1"/>
          <w:sz w:val="22"/>
          <w:szCs w:val="22"/>
          <w:highlight w:val="yellow"/>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5"/>
      <w:r w:rsidRPr="00FF76FC">
        <w:rPr>
          <w:rFonts w:ascii="Times New Roman" w:hAnsi="Times New Roman" w:cs="Times New Roman"/>
          <w:color w:val="000000" w:themeColor="text1"/>
          <w:sz w:val="22"/>
          <w:szCs w:val="22"/>
        </w:rPr>
        <w:lastRenderedPageBreak/>
        <w:t>For some time scientists have</w:t>
      </w:r>
      <w:bookmarkEnd w:id="68"/>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6"/>
      <w:r w:rsidRPr="00FF76FC">
        <w:rPr>
          <w:rFonts w:ascii="Times New Roman" w:hAnsi="Times New Roman" w:cs="Times New Roman"/>
          <w:color w:val="000000" w:themeColor="text1"/>
          <w:sz w:val="22"/>
          <w:szCs w:val="22"/>
        </w:rPr>
        <w:lastRenderedPageBreak/>
        <w:t>Zooplankton, tiny animals adapted</w:t>
      </w:r>
      <w:bookmarkEnd w:id="69"/>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BD223E">
        <w:rPr>
          <w:b/>
          <w:color w:val="000000" w:themeColor="text1"/>
          <w:sz w:val="22"/>
          <w:szCs w:val="22"/>
          <w:highlight w:val="yellow"/>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BD223E">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7"/>
      <w:r w:rsidRPr="00FF76FC">
        <w:rPr>
          <w:rFonts w:ascii="Times New Roman" w:hAnsi="Times New Roman" w:cs="Times New Roman"/>
          <w:color w:val="000000" w:themeColor="text1"/>
          <w:sz w:val="22"/>
          <w:szCs w:val="22"/>
        </w:rPr>
        <w:lastRenderedPageBreak/>
        <w:t>Warm-blooded animals have elaborate</w:t>
      </w:r>
      <w:bookmarkEnd w:id="70"/>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321108">
        <w:rPr>
          <w:color w:val="000000" w:themeColor="text1"/>
          <w:sz w:val="22"/>
          <w:szCs w:val="22"/>
          <w:highlight w:val="yellow"/>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8"/>
      <w:r w:rsidRPr="00FF76FC">
        <w:rPr>
          <w:rFonts w:ascii="Times New Roman" w:hAnsi="Times New Roman" w:cs="Times New Roman"/>
          <w:color w:val="000000" w:themeColor="text1"/>
          <w:sz w:val="22"/>
          <w:szCs w:val="22"/>
        </w:rPr>
        <w:lastRenderedPageBreak/>
        <w:t>As Gilbert White, Darwin, and</w:t>
      </w:r>
      <w:bookmarkEnd w:id="71"/>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9"/>
      <w:r w:rsidRPr="00FF76FC">
        <w:rPr>
          <w:rFonts w:ascii="Times New Roman" w:hAnsi="Times New Roman" w:cs="Times New Roman"/>
          <w:color w:val="000000" w:themeColor="text1"/>
          <w:sz w:val="22"/>
          <w:szCs w:val="22"/>
        </w:rPr>
        <w:lastRenderedPageBreak/>
        <w:t>Researchers are finding that</w:t>
      </w:r>
      <w:bookmarkEnd w:id="72"/>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E97A4A">
        <w:rPr>
          <w:color w:val="000000" w:themeColor="text1"/>
          <w:sz w:val="22"/>
          <w:szCs w:val="22"/>
          <w:highlight w:val="yellow"/>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50"/>
      <w:r w:rsidRPr="00FF76FC">
        <w:rPr>
          <w:rFonts w:ascii="Times New Roman" w:hAnsi="Times New Roman" w:cs="Times New Roman"/>
          <w:color w:val="000000" w:themeColor="text1"/>
          <w:sz w:val="22"/>
          <w:szCs w:val="22"/>
        </w:rPr>
        <w:lastRenderedPageBreak/>
        <w:t>The success of fluoride in</w:t>
      </w:r>
      <w:bookmarkEnd w:id="73"/>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25.</w:t>
      </w:r>
      <w:r w:rsidRPr="00FF76FC">
        <w:rPr>
          <w:color w:val="000000" w:themeColor="text1"/>
          <w:sz w:val="22"/>
          <w:szCs w:val="22"/>
        </w:rPr>
        <w:tab/>
        <w:t xml:space="preserve">The passage suggests that it would be </w:t>
      </w:r>
      <w:r w:rsidRPr="001E57E9">
        <w:rPr>
          <w:b/>
          <w:color w:val="000000" w:themeColor="text1"/>
          <w:sz w:val="22"/>
          <w:szCs w:val="22"/>
        </w:rPr>
        <w:t>easier</w:t>
      </w:r>
      <w:r w:rsidRPr="00FF76FC">
        <w:rPr>
          <w:color w:val="000000" w:themeColor="text1"/>
          <w:sz w:val="22"/>
          <w:szCs w:val="22"/>
        </w:rPr>
        <w:t xml:space="preserve">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indicate that necessary knowledge of fluoride remains </w:t>
      </w:r>
      <w:r w:rsidRPr="001E57E9">
        <w:rPr>
          <w:b/>
          <w:color w:val="000000" w:themeColor="text1"/>
          <w:sz w:val="22"/>
          <w:szCs w:val="22"/>
        </w:rPr>
        <w:t>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An intake of slightly more than 4 milligrams for only a few months is </w:t>
      </w:r>
      <w:r w:rsidRPr="001E57E9">
        <w:rPr>
          <w:b/>
          <w:color w:val="000000" w:themeColor="text1"/>
          <w:sz w:val="22"/>
          <w:szCs w:val="22"/>
        </w:rPr>
        <w:t>not</w:t>
      </w:r>
      <w:r w:rsidRPr="00FF76FC">
        <w:rPr>
          <w:color w:val="000000" w:themeColor="text1"/>
          <w:sz w:val="22"/>
          <w:szCs w:val="22"/>
        </w:rPr>
        <w:t xml:space="preserve">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1"/>
      <w:r w:rsidRPr="00FF76FC">
        <w:rPr>
          <w:rFonts w:ascii="Times New Roman" w:hAnsi="Times New Roman" w:cs="Times New Roman"/>
          <w:color w:val="000000" w:themeColor="text1"/>
          <w:sz w:val="22"/>
          <w:szCs w:val="22"/>
        </w:rPr>
        <w:lastRenderedPageBreak/>
        <w:t>One advantage of breeding</w:t>
      </w:r>
      <w:bookmarkEnd w:id="74"/>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2"/>
      <w:r w:rsidRPr="00FF76FC">
        <w:rPr>
          <w:rFonts w:ascii="Times New Roman" w:hAnsi="Times New Roman" w:cs="Times New Roman"/>
          <w:color w:val="000000" w:themeColor="text1"/>
          <w:sz w:val="22"/>
          <w:szCs w:val="22"/>
        </w:rPr>
        <w:lastRenderedPageBreak/>
        <w:t>The two claws of the mature American</w:t>
      </w:r>
      <w:bookmarkEnd w:id="75"/>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3"/>
      <w:r w:rsidRPr="00FF76FC">
        <w:rPr>
          <w:rFonts w:ascii="Times New Roman" w:hAnsi="Times New Roman" w:cs="Times New Roman"/>
          <w:color w:val="000000" w:themeColor="text1"/>
          <w:sz w:val="22"/>
          <w:szCs w:val="22"/>
        </w:rPr>
        <w:lastRenderedPageBreak/>
        <w:t>One explanation for the tendency</w:t>
      </w:r>
      <w:bookmarkEnd w:id="76"/>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4"/>
      <w:r w:rsidRPr="00FF76FC">
        <w:rPr>
          <w:rFonts w:ascii="Times New Roman" w:hAnsi="Times New Roman" w:cs="Times New Roman"/>
          <w:color w:val="000000" w:themeColor="text1"/>
          <w:sz w:val="22"/>
          <w:szCs w:val="22"/>
        </w:rPr>
        <w:lastRenderedPageBreak/>
        <w:t>Experiments show that insects can</w:t>
      </w:r>
      <w:bookmarkEnd w:id="77"/>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5"/>
      <w:r w:rsidRPr="00FF76FC">
        <w:rPr>
          <w:rFonts w:ascii="Times New Roman" w:hAnsi="Times New Roman" w:cs="Times New Roman"/>
          <w:color w:val="000000" w:themeColor="text1"/>
          <w:sz w:val="22"/>
          <w:szCs w:val="22"/>
        </w:rPr>
        <w:lastRenderedPageBreak/>
        <w:t>Although the hormone adrenaline</w:t>
      </w:r>
      <w:bookmarkEnd w:id="78"/>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DA0D77">
        <w:rPr>
          <w:b/>
          <w:color w:val="000000" w:themeColor="text1"/>
          <w:sz w:val="22"/>
          <w:szCs w:val="22"/>
          <w:highlight w:val="yellow"/>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79"/>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472906">
      <w:pPr>
        <w:pStyle w:val="xuanxiang"/>
        <w:spacing w:line="360" w:lineRule="auto"/>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7"/>
      <w:r w:rsidRPr="00FF76FC">
        <w:rPr>
          <w:rFonts w:ascii="Times New Roman" w:hAnsi="Times New Roman" w:cs="Times New Roman"/>
          <w:color w:val="000000" w:themeColor="text1"/>
          <w:sz w:val="22"/>
          <w:szCs w:val="22"/>
        </w:rPr>
        <w:lastRenderedPageBreak/>
        <w:t>Upwards of a billion stars in our</w:t>
      </w:r>
      <w:bookmarkEnd w:id="80"/>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113F95" w:rsidRDefault="00AF186C" w:rsidP="006C0AEF">
      <w:pPr>
        <w:pStyle w:val="Heading3"/>
        <w:numPr>
          <w:ilvl w:val="0"/>
          <w:numId w:val="17"/>
        </w:numPr>
        <w:rPr>
          <w:rFonts w:ascii="Times New Roman" w:hAnsi="Times New Roman" w:cs="Times New Roman"/>
          <w:color w:val="000000" w:themeColor="text1"/>
          <w:sz w:val="22"/>
          <w:szCs w:val="22"/>
          <w:highlight w:val="yellow"/>
        </w:rPr>
      </w:pPr>
      <w:bookmarkStart w:id="81" w:name="_Toc392067458"/>
      <w:r w:rsidRPr="00113F95">
        <w:rPr>
          <w:rFonts w:ascii="Times New Roman" w:hAnsi="Times New Roman" w:cs="Times New Roman"/>
          <w:color w:val="000000" w:themeColor="text1"/>
          <w:sz w:val="22"/>
          <w:szCs w:val="22"/>
          <w:highlight w:val="yellow"/>
        </w:rPr>
        <w:lastRenderedPageBreak/>
        <w:t>The dark regions in the starry</w:t>
      </w:r>
      <w:bookmarkEnd w:id="81"/>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113F95" w:rsidRDefault="00AF186C" w:rsidP="006C0AEF">
      <w:pPr>
        <w:pStyle w:val="Heading3"/>
        <w:numPr>
          <w:ilvl w:val="0"/>
          <w:numId w:val="17"/>
        </w:numPr>
        <w:rPr>
          <w:rFonts w:ascii="Times New Roman" w:hAnsi="Times New Roman" w:cs="Times New Roman"/>
          <w:color w:val="000000" w:themeColor="text1"/>
          <w:sz w:val="22"/>
          <w:szCs w:val="22"/>
          <w:highlight w:val="yellow"/>
        </w:rPr>
      </w:pPr>
      <w:bookmarkStart w:id="82" w:name="_Toc392067459"/>
      <w:r w:rsidRPr="00113F95">
        <w:rPr>
          <w:rFonts w:ascii="Times New Roman" w:hAnsi="Times New Roman" w:cs="Times New Roman"/>
          <w:color w:val="000000" w:themeColor="text1"/>
          <w:sz w:val="22"/>
          <w:szCs w:val="22"/>
          <w:highlight w:val="yellow"/>
        </w:rPr>
        <w:lastRenderedPageBreak/>
        <w:t>The transfer of heat and water</w:t>
      </w:r>
      <w:bookmarkEnd w:id="82"/>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60"/>
      <w:r w:rsidRPr="00FF76FC">
        <w:rPr>
          <w:rFonts w:ascii="Times New Roman" w:hAnsi="Times New Roman" w:cs="Times New Roman"/>
          <w:color w:val="000000" w:themeColor="text1"/>
          <w:sz w:val="22"/>
          <w:szCs w:val="22"/>
        </w:rPr>
        <w:lastRenderedPageBreak/>
        <w:t>Computer programmers often rem</w:t>
      </w:r>
      <w:bookmarkEnd w:id="83"/>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C73FF8">
        <w:rPr>
          <w:color w:val="000000" w:themeColor="text1"/>
          <w:sz w:val="22"/>
          <w:szCs w:val="22"/>
          <w:highlight w:val="yellow"/>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C73FF8">
        <w:rPr>
          <w:color w:val="000000" w:themeColor="text1"/>
          <w:sz w:val="22"/>
          <w:szCs w:val="22"/>
          <w:highlight w:val="yellow"/>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1"/>
      <w:r w:rsidRPr="00FF76FC">
        <w:rPr>
          <w:rFonts w:ascii="Times New Roman" w:hAnsi="Times New Roman" w:cs="Times New Roman"/>
          <w:color w:val="000000" w:themeColor="text1"/>
          <w:sz w:val="22"/>
          <w:szCs w:val="22"/>
        </w:rPr>
        <w:lastRenderedPageBreak/>
        <w:t>The determination of the sources</w:t>
      </w:r>
      <w:bookmarkEnd w:id="84"/>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5E1F74">
        <w:rPr>
          <w:color w:val="000000" w:themeColor="text1"/>
          <w:sz w:val="22"/>
          <w:szCs w:val="22"/>
          <w:highlight w:val="yellow"/>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0454BA">
        <w:rPr>
          <w:color w:val="000000" w:themeColor="text1"/>
          <w:sz w:val="22"/>
          <w:szCs w:val="22"/>
          <w:highlight w:val="yellow"/>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0454BA">
        <w:rPr>
          <w:color w:val="000000" w:themeColor="text1"/>
          <w:sz w:val="22"/>
          <w:szCs w:val="22"/>
          <w:highlight w:val="yellow"/>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2"/>
      <w:r w:rsidRPr="00FF76FC">
        <w:rPr>
          <w:rFonts w:ascii="Times New Roman" w:hAnsi="Times New Roman" w:cs="Times New Roman"/>
          <w:color w:val="000000" w:themeColor="text1"/>
          <w:sz w:val="22"/>
          <w:szCs w:val="22"/>
        </w:rPr>
        <w:lastRenderedPageBreak/>
        <w:t>Classical physics defines the vacuum</w:t>
      </w:r>
      <w:bookmarkEnd w:id="85"/>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lastRenderedPageBreak/>
        <w:t>20</w:t>
      </w:r>
      <w:r w:rsidRPr="00FF76FC">
        <w:rPr>
          <w:color w:val="000000" w:themeColor="text1"/>
          <w:sz w:val="22"/>
          <w:szCs w:val="22"/>
        </w:rPr>
        <w:t>.</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3"/>
      <w:r w:rsidRPr="00FF76FC">
        <w:rPr>
          <w:rFonts w:ascii="Times New Roman" w:hAnsi="Times New Roman" w:cs="Times New Roman"/>
          <w:color w:val="000000" w:themeColor="text1"/>
          <w:sz w:val="22"/>
          <w:szCs w:val="22"/>
        </w:rPr>
        <w:lastRenderedPageBreak/>
        <w:t>Theorists are divided concerning</w:t>
      </w:r>
      <w:bookmarkEnd w:id="86"/>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0D71E131"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r w:rsidR="004656D2">
        <w:rPr>
          <w:color w:val="000000" w:themeColor="text1"/>
          <w:sz w:val="22"/>
          <w:szCs w:val="22"/>
        </w:rPr>
        <w:t>；。；</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4"/>
      <w:r w:rsidRPr="00FF76FC">
        <w:rPr>
          <w:rFonts w:ascii="Times New Roman" w:hAnsi="Times New Roman" w:cs="Times New Roman"/>
          <w:color w:val="000000" w:themeColor="text1"/>
          <w:sz w:val="22"/>
          <w:szCs w:val="22"/>
        </w:rPr>
        <w:lastRenderedPageBreak/>
        <w:t>Of the thousands of specimens</w:t>
      </w:r>
      <w:bookmarkEnd w:id="87"/>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515674">
        <w:rPr>
          <w:color w:val="000000" w:themeColor="text1"/>
          <w:sz w:val="22"/>
          <w:szCs w:val="22"/>
          <w:highlight w:val="yellow"/>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7E5280">
        <w:rPr>
          <w:color w:val="000000" w:themeColor="text1"/>
          <w:sz w:val="22"/>
          <w:szCs w:val="22"/>
          <w:highlight w:val="yellow"/>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7E5280">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5"/>
      <w:r w:rsidRPr="00FF76FC">
        <w:rPr>
          <w:rFonts w:ascii="Times New Roman" w:hAnsi="Times New Roman" w:cs="Times New Roman"/>
          <w:color w:val="000000" w:themeColor="text1"/>
          <w:sz w:val="22"/>
          <w:szCs w:val="22"/>
        </w:rPr>
        <w:lastRenderedPageBreak/>
        <w:t>It has been known for many decades</w:t>
      </w:r>
      <w:bookmarkEnd w:id="88"/>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DF5357">
        <w:rPr>
          <w:color w:val="000000" w:themeColor="text1"/>
          <w:sz w:val="22"/>
          <w:szCs w:val="22"/>
          <w:highlight w:val="yellow"/>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6"/>
      <w:r w:rsidRPr="00FF76FC">
        <w:rPr>
          <w:rFonts w:ascii="Times New Roman" w:hAnsi="Times New Roman" w:cs="Times New Roman"/>
          <w:color w:val="000000" w:themeColor="text1"/>
          <w:sz w:val="22"/>
          <w:szCs w:val="22"/>
        </w:rPr>
        <w:lastRenderedPageBreak/>
        <w:t>One of the simplest and best known</w:t>
      </w:r>
      <w:bookmarkEnd w:id="89"/>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DF5357">
        <w:rPr>
          <w:b/>
          <w:color w:val="000000" w:themeColor="text1"/>
          <w:sz w:val="22"/>
          <w:szCs w:val="22"/>
          <w:highlight w:val="yellow"/>
        </w:rPr>
        <w:t>24.</w:t>
      </w:r>
      <w:r w:rsidRPr="00DF5357">
        <w:rPr>
          <w:b/>
          <w:color w:val="000000" w:themeColor="text1"/>
          <w:sz w:val="22"/>
          <w:szCs w:val="22"/>
        </w:rPr>
        <w:tab/>
      </w:r>
      <w:r w:rsidRPr="00FF76FC">
        <w:rPr>
          <w:color w:val="000000" w:themeColor="text1"/>
          <w:sz w:val="22"/>
          <w:szCs w:val="22"/>
        </w:rPr>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7"/>
      <w:r w:rsidRPr="00FF76FC">
        <w:rPr>
          <w:rFonts w:ascii="Times New Roman" w:hAnsi="Times New Roman" w:cs="Times New Roman"/>
          <w:color w:val="000000" w:themeColor="text1"/>
          <w:sz w:val="22"/>
          <w:szCs w:val="22"/>
        </w:rPr>
        <w:lastRenderedPageBreak/>
        <w:t>Many objects in daily use have</w:t>
      </w:r>
      <w:bookmarkEnd w:id="90"/>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05325E">
        <w:rPr>
          <w:color w:val="000000" w:themeColor="text1"/>
          <w:sz w:val="22"/>
          <w:szCs w:val="22"/>
          <w:highlight w:val="yellow"/>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05325E">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1"/>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EA6BF5">
        <w:rPr>
          <w:color w:val="000000" w:themeColor="text1"/>
          <w:sz w:val="22"/>
          <w:szCs w:val="22"/>
          <w:highlight w:val="yellow"/>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EA6BF5">
        <w:rPr>
          <w:color w:val="000000" w:themeColor="text1"/>
          <w:sz w:val="22"/>
          <w:szCs w:val="22"/>
          <w:highlight w:val="yellow"/>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9"/>
      <w:r w:rsidRPr="00FF76FC">
        <w:rPr>
          <w:rFonts w:ascii="Times New Roman" w:hAnsi="Times New Roman" w:cs="Times New Roman"/>
          <w:color w:val="000000" w:themeColor="text1"/>
          <w:sz w:val="22"/>
          <w:szCs w:val="22"/>
        </w:rPr>
        <w:lastRenderedPageBreak/>
        <w:t>The origin of the theory that major</w:t>
      </w:r>
      <w:bookmarkEnd w:id="92"/>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70"/>
      <w:r w:rsidRPr="00FF76FC">
        <w:rPr>
          <w:rFonts w:ascii="Times New Roman" w:hAnsi="Times New Roman" w:cs="Times New Roman"/>
          <w:color w:val="000000" w:themeColor="text1"/>
          <w:sz w:val="22"/>
          <w:szCs w:val="22"/>
        </w:rPr>
        <w:lastRenderedPageBreak/>
        <w:t>Benjamin Franklin established that lightning</w:t>
      </w:r>
      <w:bookmarkEnd w:id="93"/>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D15898">
        <w:rPr>
          <w:color w:val="000000" w:themeColor="text1"/>
          <w:sz w:val="22"/>
          <w:szCs w:val="22"/>
          <w:highlight w:val="yellow"/>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1"/>
      <w:r w:rsidRPr="00FF76FC">
        <w:rPr>
          <w:rFonts w:ascii="Times New Roman" w:hAnsi="Times New Roman" w:cs="Times New Roman"/>
          <w:color w:val="000000" w:themeColor="text1"/>
          <w:sz w:val="22"/>
          <w:szCs w:val="22"/>
        </w:rPr>
        <w:lastRenderedPageBreak/>
        <w:t>Because of its accuracy in outlining</w:t>
      </w:r>
      <w:bookmarkEnd w:id="94"/>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8B350C">
        <w:rPr>
          <w:color w:val="000000" w:themeColor="text1"/>
          <w:sz w:val="22"/>
          <w:szCs w:val="22"/>
        </w:rPr>
        <w:t>19.</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2"/>
      <w:r w:rsidRPr="00FF76FC">
        <w:rPr>
          <w:rFonts w:ascii="Times New Roman" w:hAnsi="Times New Roman" w:cs="Times New Roman"/>
          <w:color w:val="000000" w:themeColor="text1"/>
          <w:sz w:val="22"/>
          <w:szCs w:val="22"/>
        </w:rPr>
        <w:lastRenderedPageBreak/>
        <w:t>Scholars often fail to see that music</w:t>
      </w:r>
      <w:bookmarkEnd w:id="95"/>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953ED8">
        <w:rPr>
          <w:color w:val="000000" w:themeColor="text1"/>
          <w:sz w:val="22"/>
          <w:szCs w:val="22"/>
          <w:highlight w:val="yellow"/>
        </w:rPr>
        <w:t>20.</w:t>
      </w:r>
      <w:r w:rsidRPr="00FF76FC">
        <w:rPr>
          <w:color w:val="000000" w:themeColor="text1"/>
          <w:sz w:val="22"/>
          <w:szCs w:val="22"/>
        </w:rPr>
        <w:tab/>
        <w:t>According to the author, scholars would err</w:t>
      </w:r>
      <w:bookmarkStart w:id="96" w:name="_GoBack"/>
      <w:bookmarkEnd w:id="96"/>
      <w:r w:rsidRPr="00FF76FC">
        <w:rPr>
          <w:color w:val="000000" w:themeColor="text1"/>
          <w:sz w:val="22"/>
          <w:szCs w:val="22"/>
        </w:rPr>
        <w:t xml:space="preserve">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4D5C6D3A"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5DABF3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14:paraId="193D5FB4" w14:textId="37EE551B"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DBB5943" w14:textId="100511A8"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0FC1D268"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1398E" w14:textId="77777777" w:rsidR="006A6A52" w:rsidRDefault="006A6A52" w:rsidP="001D57EC">
      <w:r>
        <w:separator/>
      </w:r>
    </w:p>
  </w:endnote>
  <w:endnote w:type="continuationSeparator" w:id="0">
    <w:p w14:paraId="10404D09" w14:textId="77777777" w:rsidR="006A6A52" w:rsidRDefault="006A6A52"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29C1B" w14:textId="77777777" w:rsidR="006A6A52" w:rsidRDefault="006A6A52" w:rsidP="001D57EC">
      <w:r>
        <w:separator/>
      </w:r>
    </w:p>
  </w:footnote>
  <w:footnote w:type="continuationSeparator" w:id="0">
    <w:p w14:paraId="500C8FA9" w14:textId="77777777" w:rsidR="006A6A52" w:rsidRDefault="006A6A52"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8B350C" w:rsidRDefault="008B350C"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displayBackgroundShape/>
  <w:bordersDoNotSurroundHeader/>
  <w:bordersDoNotSurroundFooter/>
  <w:hideGrammaticalErrors/>
  <w:activeWritingStyle w:appName="MSWord" w:lang="en-US" w:vendorID="64" w:dllVersion="131078"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29C7"/>
    <w:rsid w:val="00044A9E"/>
    <w:rsid w:val="00044FCE"/>
    <w:rsid w:val="000454BA"/>
    <w:rsid w:val="0005325E"/>
    <w:rsid w:val="00056EF3"/>
    <w:rsid w:val="0006721C"/>
    <w:rsid w:val="0006782F"/>
    <w:rsid w:val="00067FDD"/>
    <w:rsid w:val="00076A9A"/>
    <w:rsid w:val="00080C47"/>
    <w:rsid w:val="00081C6F"/>
    <w:rsid w:val="00097E5D"/>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082C"/>
    <w:rsid w:val="00113ED2"/>
    <w:rsid w:val="00113F95"/>
    <w:rsid w:val="00114605"/>
    <w:rsid w:val="001208CD"/>
    <w:rsid w:val="00130501"/>
    <w:rsid w:val="00131715"/>
    <w:rsid w:val="00134CC1"/>
    <w:rsid w:val="001364FA"/>
    <w:rsid w:val="0013758F"/>
    <w:rsid w:val="00140E98"/>
    <w:rsid w:val="001427EA"/>
    <w:rsid w:val="00142C1A"/>
    <w:rsid w:val="00142CE2"/>
    <w:rsid w:val="00157BBF"/>
    <w:rsid w:val="0017346D"/>
    <w:rsid w:val="001804CC"/>
    <w:rsid w:val="001816F2"/>
    <w:rsid w:val="00187CF4"/>
    <w:rsid w:val="00191F56"/>
    <w:rsid w:val="00193098"/>
    <w:rsid w:val="001946A6"/>
    <w:rsid w:val="0019616F"/>
    <w:rsid w:val="001A2A2B"/>
    <w:rsid w:val="001A2CE3"/>
    <w:rsid w:val="001A6844"/>
    <w:rsid w:val="001A6A40"/>
    <w:rsid w:val="001B10B6"/>
    <w:rsid w:val="001C0A18"/>
    <w:rsid w:val="001C2B44"/>
    <w:rsid w:val="001C571A"/>
    <w:rsid w:val="001C649F"/>
    <w:rsid w:val="001C7D94"/>
    <w:rsid w:val="001D235E"/>
    <w:rsid w:val="001D57EC"/>
    <w:rsid w:val="001D67EF"/>
    <w:rsid w:val="001D7D8A"/>
    <w:rsid w:val="001E280C"/>
    <w:rsid w:val="001E3D54"/>
    <w:rsid w:val="001E57E9"/>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13F"/>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1108"/>
    <w:rsid w:val="00323695"/>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2D7C"/>
    <w:rsid w:val="00393EB5"/>
    <w:rsid w:val="003957F8"/>
    <w:rsid w:val="003A203C"/>
    <w:rsid w:val="003A4547"/>
    <w:rsid w:val="003B13B6"/>
    <w:rsid w:val="003B1CA8"/>
    <w:rsid w:val="003B2B09"/>
    <w:rsid w:val="003B3FD5"/>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1A66"/>
    <w:rsid w:val="004130DF"/>
    <w:rsid w:val="0041349D"/>
    <w:rsid w:val="00414F24"/>
    <w:rsid w:val="00422093"/>
    <w:rsid w:val="00431C73"/>
    <w:rsid w:val="0044497C"/>
    <w:rsid w:val="0044513B"/>
    <w:rsid w:val="00445D72"/>
    <w:rsid w:val="00450CD6"/>
    <w:rsid w:val="004601C1"/>
    <w:rsid w:val="00460FF9"/>
    <w:rsid w:val="004636D0"/>
    <w:rsid w:val="004656D2"/>
    <w:rsid w:val="004661D7"/>
    <w:rsid w:val="004669B7"/>
    <w:rsid w:val="004679CA"/>
    <w:rsid w:val="00471817"/>
    <w:rsid w:val="00472906"/>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34B6"/>
    <w:rsid w:val="004F4D6B"/>
    <w:rsid w:val="004F6FE2"/>
    <w:rsid w:val="005053E7"/>
    <w:rsid w:val="005130A0"/>
    <w:rsid w:val="00515674"/>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A77BD"/>
    <w:rsid w:val="005B3231"/>
    <w:rsid w:val="005B3EC7"/>
    <w:rsid w:val="005B6B87"/>
    <w:rsid w:val="005B7A96"/>
    <w:rsid w:val="005C155C"/>
    <w:rsid w:val="005C1A9D"/>
    <w:rsid w:val="005C200A"/>
    <w:rsid w:val="005C24CA"/>
    <w:rsid w:val="005C766D"/>
    <w:rsid w:val="005D05F6"/>
    <w:rsid w:val="005D5A6D"/>
    <w:rsid w:val="005E1F74"/>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2F6D"/>
    <w:rsid w:val="00655C83"/>
    <w:rsid w:val="00661EEF"/>
    <w:rsid w:val="006636A4"/>
    <w:rsid w:val="00670270"/>
    <w:rsid w:val="00673861"/>
    <w:rsid w:val="006830CC"/>
    <w:rsid w:val="00684B4A"/>
    <w:rsid w:val="00695302"/>
    <w:rsid w:val="0069580D"/>
    <w:rsid w:val="00696C15"/>
    <w:rsid w:val="006A2DB7"/>
    <w:rsid w:val="006A49E1"/>
    <w:rsid w:val="006A584B"/>
    <w:rsid w:val="006A6A52"/>
    <w:rsid w:val="006B0045"/>
    <w:rsid w:val="006B21E3"/>
    <w:rsid w:val="006B4C66"/>
    <w:rsid w:val="006C0AEF"/>
    <w:rsid w:val="006D3794"/>
    <w:rsid w:val="006D7C86"/>
    <w:rsid w:val="006E1047"/>
    <w:rsid w:val="006E1EEA"/>
    <w:rsid w:val="006F7075"/>
    <w:rsid w:val="00700EA3"/>
    <w:rsid w:val="0070181B"/>
    <w:rsid w:val="00707D85"/>
    <w:rsid w:val="00716FA7"/>
    <w:rsid w:val="00720B54"/>
    <w:rsid w:val="00734A62"/>
    <w:rsid w:val="00735F0A"/>
    <w:rsid w:val="00745C72"/>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52D4"/>
    <w:rsid w:val="007D690F"/>
    <w:rsid w:val="007E0AEE"/>
    <w:rsid w:val="007E174B"/>
    <w:rsid w:val="007E5280"/>
    <w:rsid w:val="007F00BB"/>
    <w:rsid w:val="007F1D3B"/>
    <w:rsid w:val="007F1F6A"/>
    <w:rsid w:val="007F29F3"/>
    <w:rsid w:val="00804819"/>
    <w:rsid w:val="00806A56"/>
    <w:rsid w:val="008105E8"/>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350C"/>
    <w:rsid w:val="008B5D2B"/>
    <w:rsid w:val="008B6ECB"/>
    <w:rsid w:val="008C232F"/>
    <w:rsid w:val="008C51D2"/>
    <w:rsid w:val="008D1073"/>
    <w:rsid w:val="008D1A68"/>
    <w:rsid w:val="008D548A"/>
    <w:rsid w:val="008E3F4E"/>
    <w:rsid w:val="008E4708"/>
    <w:rsid w:val="008E6436"/>
    <w:rsid w:val="008F4076"/>
    <w:rsid w:val="008F5B86"/>
    <w:rsid w:val="00902350"/>
    <w:rsid w:val="00910352"/>
    <w:rsid w:val="00916D2A"/>
    <w:rsid w:val="009250FD"/>
    <w:rsid w:val="00931C5A"/>
    <w:rsid w:val="0094669F"/>
    <w:rsid w:val="0095289B"/>
    <w:rsid w:val="00953ED8"/>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58F3"/>
    <w:rsid w:val="00AB6794"/>
    <w:rsid w:val="00AD3364"/>
    <w:rsid w:val="00AD45FD"/>
    <w:rsid w:val="00AE0566"/>
    <w:rsid w:val="00AE5AD1"/>
    <w:rsid w:val="00AF0302"/>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23E"/>
    <w:rsid w:val="00BD23D0"/>
    <w:rsid w:val="00BD23F7"/>
    <w:rsid w:val="00BD2FA8"/>
    <w:rsid w:val="00BD3CC4"/>
    <w:rsid w:val="00BD4937"/>
    <w:rsid w:val="00BD622A"/>
    <w:rsid w:val="00BE01FA"/>
    <w:rsid w:val="00BE4068"/>
    <w:rsid w:val="00BE4226"/>
    <w:rsid w:val="00BE5536"/>
    <w:rsid w:val="00BE55EB"/>
    <w:rsid w:val="00BF4F47"/>
    <w:rsid w:val="00BF65D1"/>
    <w:rsid w:val="00C00BDA"/>
    <w:rsid w:val="00C06788"/>
    <w:rsid w:val="00C144A7"/>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3FF8"/>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11AD5"/>
    <w:rsid w:val="00D15898"/>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0D77"/>
    <w:rsid w:val="00DA1FBC"/>
    <w:rsid w:val="00DA50DD"/>
    <w:rsid w:val="00DA586C"/>
    <w:rsid w:val="00DA5C32"/>
    <w:rsid w:val="00DB0406"/>
    <w:rsid w:val="00DC0662"/>
    <w:rsid w:val="00DC353B"/>
    <w:rsid w:val="00DD1618"/>
    <w:rsid w:val="00DD5110"/>
    <w:rsid w:val="00DE2CD8"/>
    <w:rsid w:val="00DF03A7"/>
    <w:rsid w:val="00DF5357"/>
    <w:rsid w:val="00DF6072"/>
    <w:rsid w:val="00E00668"/>
    <w:rsid w:val="00E061A2"/>
    <w:rsid w:val="00E121D5"/>
    <w:rsid w:val="00E15FE0"/>
    <w:rsid w:val="00E16031"/>
    <w:rsid w:val="00E1775E"/>
    <w:rsid w:val="00E206BE"/>
    <w:rsid w:val="00E4548C"/>
    <w:rsid w:val="00E500C1"/>
    <w:rsid w:val="00E5175B"/>
    <w:rsid w:val="00E63DEB"/>
    <w:rsid w:val="00E70A72"/>
    <w:rsid w:val="00E72A6B"/>
    <w:rsid w:val="00E757B3"/>
    <w:rsid w:val="00E82136"/>
    <w:rsid w:val="00E8706D"/>
    <w:rsid w:val="00E90CA4"/>
    <w:rsid w:val="00E91A3B"/>
    <w:rsid w:val="00E97A4A"/>
    <w:rsid w:val="00EA6BF5"/>
    <w:rsid w:val="00EA6C9A"/>
    <w:rsid w:val="00EA76DB"/>
    <w:rsid w:val="00EB0EC6"/>
    <w:rsid w:val="00EC0F8B"/>
    <w:rsid w:val="00ED3C4A"/>
    <w:rsid w:val="00ED7359"/>
    <w:rsid w:val="00EE416E"/>
    <w:rsid w:val="00EE4A3D"/>
    <w:rsid w:val="00EE725E"/>
    <w:rsid w:val="00EF2D40"/>
    <w:rsid w:val="00F15CF4"/>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0255"/>
    <w:rsid w:val="00F675BC"/>
    <w:rsid w:val="00F74FA9"/>
    <w:rsid w:val="00F75E60"/>
    <w:rsid w:val="00F855AB"/>
    <w:rsid w:val="00F85DC4"/>
    <w:rsid w:val="00F8690C"/>
    <w:rsid w:val="00F903AF"/>
    <w:rsid w:val="00F91ADF"/>
    <w:rsid w:val="00F92D45"/>
    <w:rsid w:val="00F93FB0"/>
    <w:rsid w:val="00F96059"/>
    <w:rsid w:val="00FA4106"/>
    <w:rsid w:val="00FA5F45"/>
    <w:rsid w:val="00FA6C89"/>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64757-710A-E849-93C9-727D1D7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317</Pages>
  <Words>158282</Words>
  <Characters>835734</Characters>
  <Application>Microsoft Macintosh Word</Application>
  <DocSecurity>0</DocSecurity>
  <Lines>13058</Lines>
  <Paragraphs>1570</Paragraphs>
  <ScaleCrop>false</ScaleCrop>
  <Company/>
  <LinksUpToDate>false</LinksUpToDate>
  <CharactersWithSpaces>992446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106</cp:revision>
  <cp:lastPrinted>2013-05-12T01:13:00Z</cp:lastPrinted>
  <dcterms:created xsi:type="dcterms:W3CDTF">2012-12-28T11:07:00Z</dcterms:created>
  <dcterms:modified xsi:type="dcterms:W3CDTF">2017-07-17T02:09:00Z</dcterms:modified>
</cp:coreProperties>
</file>