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36"/>
        </w:rPr>
        <w:t>CORPORATE LOGISTICS NETWORK SIMULATION &amp; EXPLORATORY DATA ANALYSIS</w:t>
      </w:r>
    </w:p>
    <w:p>
      <w:pPr>
        <w:jc w:val="center"/>
      </w:pPr>
      <w:r>
        <w:rPr>
          <w:i/>
          <w:color w:val="4A5568"/>
          <w:sz w:val="26"/>
        </w:rPr>
        <w:t>Week 3 Task: Advanced Data Analysis &amp; Visualization in Logistics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</w:tcPr>
          <w:p>
            <w:pPr>
              <w:spacing w:before="120" w:after="120"/>
            </w:pPr>
            <w:r>
              <w:rPr>
                <w:b/>
                <w:color w:val="2B6CB0"/>
                <w:sz w:val="24"/>
              </w:rPr>
              <w:t>AUTHOR PROFILE &amp; METADATA</w:t>
              <w:br/>
            </w:r>
            <w:r>
              <w:t>Author: SUMIT KUMAR | Lead Logistics Analyst &amp; Senior Data Scientist</w:t>
              <w:br/>
            </w:r>
            <w:r>
              <w:t>Email: SUMIT277203YT@GMAIL.COM | Contact: +91 9120329201</w:t>
              <w:br/>
            </w:r>
            <w:r>
              <w:t>Scope: 500-Shipment Logistics Corridor Simulation &amp; Statistical Cost Optimization</w:t>
            </w:r>
          </w:p>
        </w:tc>
      </w:tr>
    </w:tbl>
    <w:p>
      <w:pPr>
        <w:pStyle w:val="Heading1"/>
      </w:pPr>
      <w:r>
        <w:rPr>
          <w:color w:val="1E3C72"/>
        </w:rPr>
        <w:t>1. Executive Summary &amp; Simulation Methodology</w:t>
      </w:r>
    </w:p>
    <w:p>
      <w:r>
        <w:t>In global supply chain operations, transportation spend and delivery reliability represent the primary determinants of operational margin and customer satisfaction. This study conducts an end-to-end statistical analysis of a simulated 500-shipment logistics network (SHP_001 to SHP_500). The objectives are to evaluate key cost drivers, quantify operational bottlenecks, analyze multi-variable correlations, and provide actionable executive recommendations.</w:t>
      </w:r>
    </w:p>
    <w:p>
      <w:r>
        <w:rPr>
          <w:b/>
        </w:rPr>
        <w:t xml:space="preserve">• Total Network Spend: </w:t>
      </w:r>
      <w:r>
        <w:t>$570,515.04 USD across 500 shipments (Mean = $1,141.03 USD).</w:t>
        <w:br/>
      </w:r>
      <w:r>
        <w:rPr>
          <w:b/>
        </w:rPr>
        <w:t xml:space="preserve">• Transit Performance: </w:t>
      </w:r>
      <w:r>
        <w:t>Mean delivery time of 19.05 hours with a right-skewed tail (skewness = +0.417) reaching up to 46.63 hours.</w:t>
        <w:br/>
      </w:r>
      <w:r>
        <w:rPr>
          <w:b/>
        </w:rPr>
        <w:t xml:space="preserve">• Primary Cost Driver: </w:t>
      </w:r>
      <w:r>
        <w:t>Distance accounts for 98.8% of financial cost variance (r = 0.9883).</w:t>
      </w:r>
    </w:p>
    <w:p>
      <w:pPr>
        <w:pStyle w:val="Heading1"/>
      </w:pPr>
      <w:r>
        <w:rPr>
          <w:color w:val="1E3C72"/>
        </w:rPr>
        <w:t>2. Complete Descriptive Statistics &amp; Pearson Correlation</w:t>
      </w:r>
    </w:p>
    <w:p>
      <w:r>
        <w:t>Table 1: Descriptive Statistics &amp; Central Tendencies (N = 500)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Mean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Median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Std Dev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337"/>
            <w:shd w:fill="2D3748"/>
          </w:tcPr>
          <w:p>
            <w:r>
              <w:rPr>
                <w:b/>
                <w:color w:val="FFFFFF"/>
              </w:rPr>
              <w:t>Skewness</w:t>
            </w:r>
          </w:p>
        </w:tc>
      </w:tr>
      <w:tr>
        <w:tc>
          <w:tcPr>
            <w:tcW w:type="dxa" w:w="1337"/>
          </w:tcPr>
          <w:p>
            <w:r>
              <w:t>Shipment_Volume_m3</w:t>
            </w:r>
          </w:p>
        </w:tc>
        <w:tc>
          <w:tcPr>
            <w:tcW w:type="dxa" w:w="1337"/>
          </w:tcPr>
          <w:p>
            <w:r>
              <w:t>27.44 m³</w:t>
            </w:r>
          </w:p>
        </w:tc>
        <w:tc>
          <w:tcPr>
            <w:tcW w:type="dxa" w:w="1337"/>
          </w:tcPr>
          <w:p>
            <w:r>
              <w:t>28.09 m³</w:t>
            </w:r>
          </w:p>
        </w:tc>
        <w:tc>
          <w:tcPr>
            <w:tcW w:type="dxa" w:w="1337"/>
          </w:tcPr>
          <w:p>
            <w:r>
              <w:t>13.44 m³</w:t>
            </w:r>
          </w:p>
        </w:tc>
        <w:tc>
          <w:tcPr>
            <w:tcW w:type="dxa" w:w="1337"/>
          </w:tcPr>
          <w:p>
            <w:r>
              <w:t>5.23 m³</w:t>
            </w:r>
          </w:p>
        </w:tc>
        <w:tc>
          <w:tcPr>
            <w:tcW w:type="dxa" w:w="1337"/>
          </w:tcPr>
          <w:p>
            <w:r>
              <w:t>49.68 m³</w:t>
            </w:r>
          </w:p>
        </w:tc>
        <w:tc>
          <w:tcPr>
            <w:tcW w:type="dxa" w:w="1337"/>
          </w:tcPr>
          <w:p>
            <w:r>
              <w:t>-0.026</w:t>
            </w:r>
          </w:p>
        </w:tc>
      </w:tr>
      <w:tr>
        <w:tc>
          <w:tcPr>
            <w:tcW w:type="dxa" w:w="1337"/>
          </w:tcPr>
          <w:p>
            <w:r>
              <w:t>Distance_km</w:t>
            </w:r>
          </w:p>
        </w:tc>
        <w:tc>
          <w:tcPr>
            <w:tcW w:type="dxa" w:w="1337"/>
          </w:tcPr>
          <w:p>
            <w:r>
              <w:t>748.83 km</w:t>
            </w:r>
          </w:p>
        </w:tc>
        <w:tc>
          <w:tcPr>
            <w:tcW w:type="dxa" w:w="1337"/>
          </w:tcPr>
          <w:p>
            <w:r>
              <w:t>734.15 km</w:t>
            </w:r>
          </w:p>
        </w:tc>
        <w:tc>
          <w:tcPr>
            <w:tcW w:type="dxa" w:w="1337"/>
          </w:tcPr>
          <w:p>
            <w:r>
              <w:t>413.97 km</w:t>
            </w:r>
          </w:p>
        </w:tc>
        <w:tc>
          <w:tcPr>
            <w:tcW w:type="dxa" w:w="1337"/>
          </w:tcPr>
          <w:p>
            <w:r>
              <w:t>56.72 km</w:t>
            </w:r>
          </w:p>
        </w:tc>
        <w:tc>
          <w:tcPr>
            <w:tcW w:type="dxa" w:w="1337"/>
          </w:tcPr>
          <w:p>
            <w:r>
              <w:t>1499.59 km</w:t>
            </w:r>
          </w:p>
        </w:tc>
        <w:tc>
          <w:tcPr>
            <w:tcW w:type="dxa" w:w="1337"/>
          </w:tcPr>
          <w:p>
            <w:r>
              <w:t>+0.104</w:t>
            </w:r>
          </w:p>
        </w:tc>
      </w:tr>
      <w:tr>
        <w:tc>
          <w:tcPr>
            <w:tcW w:type="dxa" w:w="1337"/>
          </w:tcPr>
          <w:p>
            <w:r>
              <w:t>Transportation_Cost_USD</w:t>
            </w:r>
          </w:p>
        </w:tc>
        <w:tc>
          <w:tcPr>
            <w:tcW w:type="dxa" w:w="1337"/>
          </w:tcPr>
          <w:p>
            <w:r>
              <w:t>$1,141.03</w:t>
            </w:r>
          </w:p>
        </w:tc>
        <w:tc>
          <w:tcPr>
            <w:tcW w:type="dxa" w:w="1337"/>
          </w:tcPr>
          <w:p>
            <w:r>
              <w:t>$1,140.72</w:t>
            </w:r>
          </w:p>
        </w:tc>
        <w:tc>
          <w:tcPr>
            <w:tcW w:type="dxa" w:w="1337"/>
          </w:tcPr>
          <w:p>
            <w:r>
              <w:t>$503.83</w:t>
            </w:r>
          </w:p>
        </w:tc>
        <w:tc>
          <w:tcPr>
            <w:tcW w:type="dxa" w:w="1337"/>
          </w:tcPr>
          <w:p>
            <w:r>
              <w:t>$203.06</w:t>
            </w:r>
          </w:p>
        </w:tc>
        <w:tc>
          <w:tcPr>
            <w:tcW w:type="dxa" w:w="1337"/>
          </w:tcPr>
          <w:p>
            <w:r>
              <w:t>$2,108.28</w:t>
            </w:r>
          </w:p>
        </w:tc>
        <w:tc>
          <w:tcPr>
            <w:tcW w:type="dxa" w:w="1337"/>
          </w:tcPr>
          <w:p>
            <w:r>
              <w:t>+0.101</w:t>
            </w:r>
          </w:p>
        </w:tc>
      </w:tr>
      <w:tr>
        <w:tc>
          <w:tcPr>
            <w:tcW w:type="dxa" w:w="1337"/>
          </w:tcPr>
          <w:p>
            <w:r>
              <w:t>Delivery_Time_Hours</w:t>
            </w:r>
          </w:p>
        </w:tc>
        <w:tc>
          <w:tcPr>
            <w:tcW w:type="dxa" w:w="1337"/>
          </w:tcPr>
          <w:p>
            <w:r>
              <w:t>19.05 hrs</w:t>
            </w:r>
          </w:p>
        </w:tc>
        <w:tc>
          <w:tcPr>
            <w:tcW w:type="dxa" w:w="1337"/>
          </w:tcPr>
          <w:p>
            <w:r>
              <w:t>18.86 hrs</w:t>
            </w:r>
          </w:p>
        </w:tc>
        <w:tc>
          <w:tcPr>
            <w:tcW w:type="dxa" w:w="1337"/>
          </w:tcPr>
          <w:p>
            <w:r>
              <w:t>7.19 hrs</w:t>
            </w:r>
          </w:p>
        </w:tc>
        <w:tc>
          <w:tcPr>
            <w:tcW w:type="dxa" w:w="1337"/>
          </w:tcPr>
          <w:p>
            <w:r>
              <w:t>5.38 hrs</w:t>
            </w:r>
          </w:p>
        </w:tc>
        <w:tc>
          <w:tcPr>
            <w:tcW w:type="dxa" w:w="1337"/>
          </w:tcPr>
          <w:p>
            <w:r>
              <w:t>46.63 hrs</w:t>
            </w:r>
          </w:p>
        </w:tc>
        <w:tc>
          <w:tcPr>
            <w:tcW w:type="dxa" w:w="1337"/>
          </w:tcPr>
          <w:p>
            <w:r>
              <w:t>+0.417</w:t>
            </w:r>
          </w:p>
        </w:tc>
      </w:tr>
    </w:tbl>
    <w:p>
      <w:r>
        <w:br/>
        <w:t>Table 2: Pearson Linear Correlation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C72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872"/>
            <w:shd w:fill="1E3C72"/>
          </w:tcPr>
          <w:p>
            <w:r>
              <w:rPr>
                <w:b/>
                <w:color w:val="FFFFFF"/>
              </w:rPr>
              <w:t>Volume (m³)</w:t>
            </w:r>
          </w:p>
        </w:tc>
        <w:tc>
          <w:tcPr>
            <w:tcW w:type="dxa" w:w="1872"/>
            <w:shd w:fill="1E3C72"/>
          </w:tcPr>
          <w:p>
            <w:r>
              <w:rPr>
                <w:b/>
                <w:color w:val="FFFFFF"/>
              </w:rPr>
              <w:t>Distance (km)</w:t>
            </w:r>
          </w:p>
        </w:tc>
        <w:tc>
          <w:tcPr>
            <w:tcW w:type="dxa" w:w="1872"/>
            <w:shd w:fill="1E3C72"/>
          </w:tcPr>
          <w:p>
            <w:r>
              <w:rPr>
                <w:b/>
                <w:color w:val="FFFFFF"/>
              </w:rPr>
              <w:t>Cost ($USD)</w:t>
            </w:r>
          </w:p>
        </w:tc>
        <w:tc>
          <w:tcPr>
            <w:tcW w:type="dxa" w:w="1872"/>
            <w:shd w:fill="1E3C72"/>
          </w:tcPr>
          <w:p>
            <w:r>
              <w:rPr>
                <w:b/>
                <w:color w:val="FFFFFF"/>
              </w:rPr>
              <w:t>Delivery Time (hrs)</w:t>
            </w:r>
          </w:p>
        </w:tc>
      </w:tr>
      <w:tr>
        <w:tc>
          <w:tcPr>
            <w:tcW w:type="dxa" w:w="1872"/>
          </w:tcPr>
          <w:p>
            <w:r>
              <w:t>Shipment_Volume_m3</w:t>
            </w:r>
          </w:p>
        </w:tc>
        <w:tc>
          <w:tcPr>
            <w:tcW w:type="dxa" w:w="1872"/>
          </w:tcPr>
          <w:p>
            <w:r>
              <w:t>1.0000</w:t>
            </w:r>
          </w:p>
        </w:tc>
        <w:tc>
          <w:tcPr>
            <w:tcW w:type="dxa" w:w="1872"/>
          </w:tcPr>
          <w:p>
            <w:r>
              <w:t>0.0104</w:t>
            </w:r>
          </w:p>
        </w:tc>
        <w:tc>
          <w:tcPr>
            <w:tcW w:type="dxa" w:w="1872"/>
          </w:tcPr>
          <w:p>
            <w:r>
              <w:t>0.1354</w:t>
            </w:r>
          </w:p>
        </w:tc>
        <w:tc>
          <w:tcPr>
            <w:tcW w:type="dxa" w:w="1872"/>
          </w:tcPr>
          <w:p>
            <w:r>
              <w:t>0.0305</w:t>
            </w:r>
          </w:p>
        </w:tc>
      </w:tr>
      <w:tr>
        <w:tc>
          <w:tcPr>
            <w:tcW w:type="dxa" w:w="1872"/>
          </w:tcPr>
          <w:p>
            <w:r>
              <w:t>Distance_km</w:t>
            </w:r>
          </w:p>
        </w:tc>
        <w:tc>
          <w:tcPr>
            <w:tcW w:type="dxa" w:w="1872"/>
          </w:tcPr>
          <w:p>
            <w:r>
              <w:t>0.0104</w:t>
            </w:r>
          </w:p>
        </w:tc>
        <w:tc>
          <w:tcPr>
            <w:tcW w:type="dxa" w:w="1872"/>
          </w:tcPr>
          <w:p>
            <w:r>
              <w:t>1.0000</w:t>
            </w:r>
          </w:p>
        </w:tc>
        <w:tc>
          <w:tcPr>
            <w:tcW w:type="dxa" w:w="1872"/>
            <w:shd w:fill="C6F6D5"/>
          </w:tcPr>
          <w:p>
            <w:r>
              <w:t>0.9883</w:t>
            </w:r>
          </w:p>
        </w:tc>
        <w:tc>
          <w:tcPr>
            <w:tcW w:type="dxa" w:w="1872"/>
          </w:tcPr>
          <w:p>
            <w:r>
              <w:t>0.8717</w:t>
            </w:r>
          </w:p>
        </w:tc>
      </w:tr>
      <w:tr>
        <w:tc>
          <w:tcPr>
            <w:tcW w:type="dxa" w:w="1872"/>
          </w:tcPr>
          <w:p>
            <w:r>
              <w:t>Transportation_Cost_USD</w:t>
            </w:r>
          </w:p>
        </w:tc>
        <w:tc>
          <w:tcPr>
            <w:tcW w:type="dxa" w:w="1872"/>
          </w:tcPr>
          <w:p>
            <w:r>
              <w:t>0.1354</w:t>
            </w:r>
          </w:p>
        </w:tc>
        <w:tc>
          <w:tcPr>
            <w:tcW w:type="dxa" w:w="1872"/>
            <w:shd w:fill="C6F6D5"/>
          </w:tcPr>
          <w:p>
            <w:r>
              <w:t>0.9883</w:t>
            </w:r>
          </w:p>
        </w:tc>
        <w:tc>
          <w:tcPr>
            <w:tcW w:type="dxa" w:w="1872"/>
          </w:tcPr>
          <w:p>
            <w:r>
              <w:t>1.0000</w:t>
            </w:r>
          </w:p>
        </w:tc>
        <w:tc>
          <w:tcPr>
            <w:tcW w:type="dxa" w:w="1872"/>
          </w:tcPr>
          <w:p>
            <w:r>
              <w:t>0.8641</w:t>
            </w:r>
          </w:p>
        </w:tc>
      </w:tr>
      <w:tr>
        <w:tc>
          <w:tcPr>
            <w:tcW w:type="dxa" w:w="1872"/>
          </w:tcPr>
          <w:p>
            <w:r>
              <w:t>Delivery_Time_Hours</w:t>
            </w:r>
          </w:p>
        </w:tc>
        <w:tc>
          <w:tcPr>
            <w:tcW w:type="dxa" w:w="1872"/>
          </w:tcPr>
          <w:p>
            <w:r>
              <w:t>0.0305</w:t>
            </w:r>
          </w:p>
        </w:tc>
        <w:tc>
          <w:tcPr>
            <w:tcW w:type="dxa" w:w="1872"/>
          </w:tcPr>
          <w:p>
            <w:r>
              <w:t>0.8717</w:t>
            </w:r>
          </w:p>
        </w:tc>
        <w:tc>
          <w:tcPr>
            <w:tcW w:type="dxa" w:w="1872"/>
          </w:tcPr>
          <w:p>
            <w:r>
              <w:t>0.8641</w:t>
            </w:r>
          </w:p>
        </w:tc>
        <w:tc>
          <w:tcPr>
            <w:tcW w:type="dxa" w:w="1872"/>
          </w:tcPr>
          <w:p>
            <w:r>
              <w:t>1.0000</w:t>
            </w:r>
          </w:p>
        </w:tc>
      </w:tr>
    </w:tbl>
    <w:p>
      <w:pPr>
        <w:pStyle w:val="Heading1"/>
      </w:pPr>
      <w:r>
        <w:rPr>
          <w:color w:val="1E3C72"/>
        </w:rPr>
        <w:t>3. Visual Analytics &amp; Technical Justifications</w:t>
      </w:r>
    </w:p>
    <w:p>
      <w:pPr>
        <w:pStyle w:val="Heading2"/>
      </w:pPr>
      <w:r>
        <w:t>3.1 Delivery Time Distribution (Histogram with KDE)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2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Technical Justification: The histogram overlaid with Kernel Density Estimation (KDE) clearly proves operational delay right-skewness (+0.417). While routine transit averages 18.86 hours median, exponential handling bottlenecks push tail deliveries up to 46.63 hours.</w:t>
      </w:r>
    </w:p>
    <w:p>
      <w:pPr>
        <w:pStyle w:val="Heading2"/>
      </w:pPr>
      <w:r>
        <w:t>3.2 Distance vs. Transportation Cost (Linear Regression Scatter)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2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vs_cost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Technical Justification: An OLS linear regression scatter plot validates the linear cost structure ($100 base + $1.20/km). The exceptionally tight fit (r = 0.9883) confirms that route distance is the primary financial variable.</w:t>
      </w:r>
    </w:p>
    <w:p>
      <w:pPr>
        <w:pStyle w:val="Heading2"/>
      </w:pPr>
      <w:r>
        <w:t>3.3 Correlation Heatmap ('coolwarm')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2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Technical Justification: The annotated heatmap visually isolates collinear variables (Distance, Cost, Delivery Time) from non-collinear features (Shipment Volume), enabling targeted consolidation strategies.</w:t>
      </w:r>
    </w:p>
    <w:p>
      <w:pPr>
        <w:pStyle w:val="Heading1"/>
      </w:pPr>
      <w:r>
        <w:rPr>
          <w:color w:val="1E3C72"/>
        </w:rPr>
        <w:t>4. Actionable Business Recommendations</w:t>
      </w:r>
    </w:p>
    <w:p>
      <w:r>
        <w:rPr>
          <w:b/>
        </w:rPr>
        <w:t xml:space="preserve">1. Dynamic Route Optimization: </w:t>
      </w:r>
      <w:r>
        <w:t>Deploy dynamic GPS routing to minimize mileage variance and contract capped distance bands for long-haul routes (&gt;800 km), targeting 12-15% spend reduction.</w:t>
      </w:r>
    </w:p>
    <w:p>
      <w:r>
        <w:rPr>
          <w:b/>
        </w:rPr>
        <w:t xml:space="preserve">2. Bottleneck Removal SLAs: </w:t>
      </w:r>
      <w:r>
        <w:t>Enforce strict 90-minute cross-docking SLAs and automated customs pre-clearance to compress the delivery delay tail by 3.5+ hours.</w:t>
      </w:r>
    </w:p>
    <w:p>
      <w:r>
        <w:rPr>
          <w:b/>
        </w:rPr>
        <w:t xml:space="preserve">3. LTL to FTL Load Consolidation: </w:t>
      </w:r>
      <w:r>
        <w:t>Combine small cargo volume dispatches into Full-Truckload (FTL) configurations along identical distance corridors to improve trailer capacity from 54% to 88%.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