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C9B74" w14:textId="77777777" w:rsidR="00411117" w:rsidRPr="00411117" w:rsidRDefault="00411117" w:rsidP="00411117">
      <w:pPr>
        <w:shd w:val="clear" w:color="auto" w:fill="FFFFFF"/>
        <w:spacing w:after="180" w:line="240" w:lineRule="auto"/>
        <w:outlineLvl w:val="1"/>
        <w:rPr>
          <w:rFonts w:ascii="Segoe UI" w:eastAsia="Times New Roman" w:hAnsi="Segoe UI" w:cs="Segoe UI"/>
          <w:b/>
          <w:bCs/>
          <w:color w:val="323237"/>
          <w:sz w:val="36"/>
          <w:szCs w:val="36"/>
        </w:rPr>
      </w:pPr>
      <w:r w:rsidRPr="00411117">
        <w:rPr>
          <w:rFonts w:ascii="Segoe UI" w:eastAsia="Times New Roman" w:hAnsi="Segoe UI" w:cs="Segoe UI"/>
          <w:b/>
          <w:bCs/>
          <w:color w:val="323237"/>
          <w:sz w:val="36"/>
          <w:szCs w:val="36"/>
        </w:rPr>
        <w:t>Pricing details</w:t>
      </w:r>
    </w:p>
    <w:p w14:paraId="2BB47E18" w14:textId="77777777" w:rsidR="00411117" w:rsidRPr="00411117" w:rsidRDefault="00411117" w:rsidP="00411117">
      <w:pPr>
        <w:shd w:val="clear" w:color="auto" w:fill="FFFFFF"/>
        <w:spacing w:before="180" w:after="180" w:line="240" w:lineRule="auto"/>
        <w:rPr>
          <w:rFonts w:ascii="Segoe UI" w:eastAsia="Times New Roman" w:hAnsi="Segoe UI" w:cs="Segoe UI"/>
          <w:color w:val="323237"/>
          <w:sz w:val="24"/>
          <w:szCs w:val="24"/>
        </w:rPr>
      </w:pPr>
      <w:r w:rsidRPr="00411117">
        <w:rPr>
          <w:rFonts w:ascii="Segoe UI" w:eastAsia="Times New Roman" w:hAnsi="Segoe UI" w:cs="Segoe UI"/>
          <w:color w:val="323237"/>
          <w:sz w:val="24"/>
          <w:szCs w:val="24"/>
        </w:rPr>
        <w:t>Offered in combinable units that include reliable storage and throughput, Azure Search allows developers to set-up and scale a search experience quickly and cost-effectively. As the volume of data or throughput needs of an application change, Azure Search can scale out to meet these needs, and then scale back down to reduce costs. To get more performance, a customer can combine units to gain more queries per second, or a higher document count, or both. Units can also be combined to enable high availability or faster data ingestion.</w:t>
      </w:r>
    </w:p>
    <w:p w14:paraId="46562719" w14:textId="77777777" w:rsidR="00411117" w:rsidRPr="00411117" w:rsidRDefault="00411117" w:rsidP="00411117">
      <w:pPr>
        <w:shd w:val="clear" w:color="auto" w:fill="FFFFFF"/>
        <w:spacing w:before="180" w:after="180" w:line="240" w:lineRule="auto"/>
        <w:rPr>
          <w:rFonts w:ascii="Segoe UI" w:eastAsia="Times New Roman" w:hAnsi="Segoe UI" w:cs="Segoe UI"/>
          <w:color w:val="323237"/>
          <w:sz w:val="24"/>
          <w:szCs w:val="24"/>
        </w:rPr>
      </w:pPr>
      <w:r w:rsidRPr="00411117">
        <w:rPr>
          <w:rFonts w:ascii="Segoe UI" w:eastAsia="Times New Roman" w:hAnsi="Segoe UI" w:cs="Segoe UI"/>
          <w:color w:val="323237"/>
          <w:sz w:val="24"/>
          <w:szCs w:val="24"/>
        </w:rPr>
        <w:t>High density (HD) mode is an optional setting available for standard S3. High density mode enables customers to pack in a higher number of indices per Azure Search service. This is ideal for customers building multi-tenant SaaS apps that have a large number of small tenants, trials, or free accounts and want to provide a powerful search experience at a low cost per index.</w:t>
      </w:r>
    </w:p>
    <w:p w14:paraId="7226D5C0" w14:textId="77777777" w:rsidR="00411117" w:rsidRPr="00411117" w:rsidRDefault="00411117" w:rsidP="00411117">
      <w:pPr>
        <w:shd w:val="clear" w:color="auto" w:fill="FFFFFF"/>
        <w:spacing w:before="180" w:after="180" w:line="240" w:lineRule="auto"/>
        <w:rPr>
          <w:rFonts w:ascii="Segoe UI" w:eastAsia="Times New Roman" w:hAnsi="Segoe UI" w:cs="Segoe UI"/>
          <w:color w:val="323237"/>
          <w:sz w:val="24"/>
          <w:szCs w:val="24"/>
        </w:rPr>
      </w:pPr>
      <w:r w:rsidRPr="00411117">
        <w:rPr>
          <w:rFonts w:ascii="Segoe UI" w:eastAsia="Times New Roman" w:hAnsi="Segoe UI" w:cs="Segoe UI"/>
          <w:color w:val="323237"/>
          <w:sz w:val="24"/>
          <w:szCs w:val="24"/>
        </w:rPr>
        <w:t>Storage Optimized editions, L1 &amp; L2, are in public preview and currently available at discounted pricing. They offer significantly more storage at a reduced price per TB. These editions are ideal for solutions with a large volume of index data and low query demands throughout the day. This is well suited for internal applications searching over large file repositories, searching an archive of many years of business data, or e-discovery. Final pricing of these editions will be announced later when these tiers are generally available.</w:t>
      </w:r>
    </w:p>
    <w:p w14:paraId="56E327A0" w14:textId="77777777" w:rsidR="00411117" w:rsidRPr="00411117" w:rsidRDefault="00411117" w:rsidP="00411117">
      <w:pPr>
        <w:shd w:val="clear" w:color="auto" w:fill="FFFFFF"/>
        <w:spacing w:before="180" w:after="180" w:line="240" w:lineRule="auto"/>
        <w:rPr>
          <w:rFonts w:ascii="Segoe UI" w:eastAsia="Times New Roman" w:hAnsi="Segoe UI" w:cs="Segoe UI"/>
          <w:color w:val="323237"/>
          <w:sz w:val="24"/>
          <w:szCs w:val="24"/>
        </w:rPr>
      </w:pPr>
      <w:r w:rsidRPr="00411117">
        <w:rPr>
          <w:rFonts w:ascii="Segoe UI" w:eastAsia="Times New Roman" w:hAnsi="Segoe UI" w:cs="Segoe UI"/>
          <w:color w:val="323237"/>
          <w:sz w:val="24"/>
          <w:szCs w:val="24"/>
        </w:rPr>
        <w:t>Storage Optimized SKUs are now GA. Prices shown are GA prices, which take effect September 1, 2019. Before then they will be charged at a 50% discount.</w:t>
      </w:r>
    </w:p>
    <w:p w14:paraId="27D67031" w14:textId="274D59F7" w:rsidR="00411117" w:rsidRDefault="00411117" w:rsidP="00411117">
      <w:pPr>
        <w:shd w:val="clear" w:color="auto" w:fill="FFFFFF"/>
        <w:spacing w:before="180" w:after="180" w:line="240" w:lineRule="auto"/>
        <w:rPr>
          <w:rFonts w:ascii="Segoe UI" w:eastAsia="Times New Roman" w:hAnsi="Segoe UI" w:cs="Segoe UI"/>
          <w:color w:val="323237"/>
          <w:sz w:val="24"/>
          <w:szCs w:val="24"/>
        </w:rPr>
      </w:pPr>
      <w:r w:rsidRPr="00411117">
        <w:rPr>
          <w:rFonts w:ascii="Segoe UI" w:eastAsia="Times New Roman" w:hAnsi="Segoe UI" w:cs="Segoe UI"/>
          <w:color w:val="323237"/>
          <w:sz w:val="24"/>
          <w:szCs w:val="24"/>
        </w:rPr>
        <w:t>Document Cracking capability goes GA on May 7, 2019, and new GA price will become effective on July 1, 2019. You can enrich a limited number of documents for free, or attach a billable Cognitive Services resource for larger and more frequent workloads. </w:t>
      </w:r>
      <w:hyperlink r:id="rId6" w:history="1">
        <w:r w:rsidRPr="00411117">
          <w:rPr>
            <w:rFonts w:ascii="Segoe UI" w:eastAsia="Times New Roman" w:hAnsi="Segoe UI" w:cs="Segoe UI"/>
            <w:color w:val="0071C7"/>
            <w:sz w:val="24"/>
            <w:szCs w:val="24"/>
            <w:u w:val="single"/>
          </w:rPr>
          <w:t>Built-in cognitive skill execution</w:t>
        </w:r>
      </w:hyperlink>
      <w:r w:rsidRPr="00411117">
        <w:rPr>
          <w:rFonts w:ascii="Segoe UI" w:eastAsia="Times New Roman" w:hAnsi="Segoe UI" w:cs="Segoe UI"/>
          <w:color w:val="323237"/>
          <w:sz w:val="24"/>
          <w:szCs w:val="24"/>
        </w:rPr>
        <w:t> is charged at the </w:t>
      </w:r>
      <w:hyperlink r:id="rId7" w:history="1">
        <w:r w:rsidRPr="00411117">
          <w:rPr>
            <w:rFonts w:ascii="Segoe UI" w:eastAsia="Times New Roman" w:hAnsi="Segoe UI" w:cs="Segoe UI"/>
            <w:color w:val="0071C7"/>
            <w:sz w:val="24"/>
            <w:szCs w:val="24"/>
            <w:u w:val="single"/>
          </w:rPr>
          <w:t>Cognitive Services pay-as-you go price</w:t>
        </w:r>
      </w:hyperlink>
      <w:r w:rsidRPr="00411117">
        <w:rPr>
          <w:rFonts w:ascii="Segoe UI" w:eastAsia="Times New Roman" w:hAnsi="Segoe UI" w:cs="Segoe UI"/>
          <w:color w:val="323237"/>
          <w:sz w:val="24"/>
          <w:szCs w:val="24"/>
        </w:rPr>
        <w:t>, at the same rate as if you had performed the task directly. Learn more about </w:t>
      </w:r>
      <w:hyperlink r:id="rId8" w:history="1">
        <w:r w:rsidRPr="00411117">
          <w:rPr>
            <w:rFonts w:ascii="Segoe UI" w:eastAsia="Times New Roman" w:hAnsi="Segoe UI" w:cs="Segoe UI"/>
            <w:color w:val="0071C7"/>
            <w:sz w:val="24"/>
            <w:szCs w:val="24"/>
            <w:u w:val="single"/>
          </w:rPr>
          <w:t>skill execution</w:t>
        </w:r>
      </w:hyperlink>
      <w:r w:rsidRPr="00411117">
        <w:rPr>
          <w:rFonts w:ascii="Segoe UI" w:eastAsia="Times New Roman" w:hAnsi="Segoe UI" w:cs="Segoe UI"/>
          <w:color w:val="323237"/>
          <w:sz w:val="24"/>
          <w:szCs w:val="24"/>
        </w:rPr>
        <w:t>.</w:t>
      </w:r>
    </w:p>
    <w:p w14:paraId="5D8130C5" w14:textId="4038DFD1" w:rsidR="00411117" w:rsidRDefault="00411117" w:rsidP="00411117">
      <w:pPr>
        <w:shd w:val="clear" w:color="auto" w:fill="FFFFFF"/>
        <w:spacing w:before="180" w:after="180" w:line="240" w:lineRule="auto"/>
        <w:rPr>
          <w:rFonts w:ascii="Segoe UI" w:eastAsia="Times New Roman" w:hAnsi="Segoe UI" w:cs="Segoe UI"/>
          <w:color w:val="323237"/>
          <w:sz w:val="24"/>
          <w:szCs w:val="24"/>
        </w:rPr>
      </w:pPr>
    </w:p>
    <w:p w14:paraId="0900DF60" w14:textId="701F13E5" w:rsidR="00411117" w:rsidRPr="00411117" w:rsidRDefault="00411117" w:rsidP="00411117">
      <w:pPr>
        <w:shd w:val="clear" w:color="auto" w:fill="FFFFFF"/>
        <w:spacing w:before="180" w:after="180" w:line="240" w:lineRule="auto"/>
        <w:rPr>
          <w:rFonts w:ascii="Segoe UI" w:eastAsia="Times New Roman" w:hAnsi="Segoe UI" w:cs="Segoe UI"/>
          <w:color w:val="323237"/>
          <w:sz w:val="24"/>
          <w:szCs w:val="24"/>
        </w:rPr>
      </w:pPr>
      <w:r>
        <w:rPr>
          <w:rFonts w:ascii="Segoe UI" w:eastAsia="Times New Roman" w:hAnsi="Segoe UI" w:cs="Segoe UI"/>
          <w:color w:val="323237"/>
          <w:sz w:val="24"/>
          <w:szCs w:val="24"/>
        </w:rPr>
        <w:t xml:space="preserve">Note: This data was taken on 6/12/19 from </w:t>
      </w:r>
      <w:hyperlink r:id="rId9" w:history="1">
        <w:r>
          <w:rPr>
            <w:rStyle w:val="Hyperlink"/>
          </w:rPr>
          <w:t>https://azure.microsoft.com/en-us/pricing/details/search/</w:t>
        </w:r>
      </w:hyperlink>
      <w:r>
        <w:t xml:space="preserve">  and is subject to change</w:t>
      </w:r>
      <w:bookmarkStart w:id="0" w:name="_GoBack"/>
      <w:bookmarkEnd w:id="0"/>
    </w:p>
    <w:sectPr w:rsidR="00411117" w:rsidRPr="00411117" w:rsidSect="004111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F543A" w14:textId="77777777" w:rsidR="00411117" w:rsidRDefault="00411117" w:rsidP="00411117">
      <w:pPr>
        <w:spacing w:after="0" w:line="240" w:lineRule="auto"/>
      </w:pPr>
      <w:r>
        <w:separator/>
      </w:r>
    </w:p>
  </w:endnote>
  <w:endnote w:type="continuationSeparator" w:id="0">
    <w:p w14:paraId="5A9B0ADE" w14:textId="77777777" w:rsidR="00411117" w:rsidRDefault="00411117" w:rsidP="0041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413B9" w14:textId="77777777" w:rsidR="00411117" w:rsidRDefault="00411117" w:rsidP="00411117">
      <w:pPr>
        <w:spacing w:after="0" w:line="240" w:lineRule="auto"/>
      </w:pPr>
      <w:r>
        <w:separator/>
      </w:r>
    </w:p>
  </w:footnote>
  <w:footnote w:type="continuationSeparator" w:id="0">
    <w:p w14:paraId="65A65815" w14:textId="77777777" w:rsidR="00411117" w:rsidRDefault="00411117" w:rsidP="004111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17"/>
    <w:rsid w:val="00411117"/>
    <w:rsid w:val="00AF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98192"/>
  <w15:chartTrackingRefBased/>
  <w15:docId w15:val="{56A3FA73-E055-447E-9335-3E2EF99C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1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11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1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1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64580">
      <w:bodyDiv w:val="1"/>
      <w:marLeft w:val="0"/>
      <w:marRight w:val="0"/>
      <w:marTop w:val="0"/>
      <w:marBottom w:val="0"/>
      <w:divBdr>
        <w:top w:val="none" w:sz="0" w:space="0" w:color="auto"/>
        <w:left w:val="none" w:sz="0" w:space="0" w:color="auto"/>
        <w:bottom w:val="none" w:sz="0" w:space="0" w:color="auto"/>
        <w:right w:val="none" w:sz="0" w:space="0" w:color="auto"/>
      </w:divBdr>
      <w:divsChild>
        <w:div w:id="1716273508">
          <w:marLeft w:val="0"/>
          <w:marRight w:val="0"/>
          <w:marTop w:val="0"/>
          <w:marBottom w:val="0"/>
          <w:divBdr>
            <w:top w:val="none" w:sz="0" w:space="0" w:color="auto"/>
            <w:left w:val="none" w:sz="0" w:space="0" w:color="auto"/>
            <w:bottom w:val="none" w:sz="0" w:space="0" w:color="auto"/>
            <w:right w:val="none" w:sz="0" w:space="0" w:color="auto"/>
          </w:divBdr>
        </w:div>
      </w:divsChild>
    </w:div>
    <w:div w:id="1578787956">
      <w:bodyDiv w:val="1"/>
      <w:marLeft w:val="0"/>
      <w:marRight w:val="0"/>
      <w:marTop w:val="0"/>
      <w:marBottom w:val="0"/>
      <w:divBdr>
        <w:top w:val="none" w:sz="0" w:space="0" w:color="auto"/>
        <w:left w:val="none" w:sz="0" w:space="0" w:color="auto"/>
        <w:bottom w:val="none" w:sz="0" w:space="0" w:color="auto"/>
        <w:right w:val="none" w:sz="0" w:space="0" w:color="auto"/>
      </w:divBdr>
      <w:divsChild>
        <w:div w:id="2146580857">
          <w:marLeft w:val="0"/>
          <w:marRight w:val="0"/>
          <w:marTop w:val="0"/>
          <w:marBottom w:val="0"/>
          <w:divBdr>
            <w:top w:val="none" w:sz="0" w:space="0" w:color="auto"/>
            <w:left w:val="none" w:sz="0" w:space="0" w:color="auto"/>
            <w:bottom w:val="none" w:sz="0" w:space="0" w:color="auto"/>
            <w:right w:val="none" w:sz="0" w:space="0" w:color="auto"/>
          </w:divBdr>
        </w:div>
      </w:divsChild>
    </w:div>
    <w:div w:id="1615359647">
      <w:bodyDiv w:val="1"/>
      <w:marLeft w:val="0"/>
      <w:marRight w:val="0"/>
      <w:marTop w:val="0"/>
      <w:marBottom w:val="0"/>
      <w:divBdr>
        <w:top w:val="none" w:sz="0" w:space="0" w:color="auto"/>
        <w:left w:val="none" w:sz="0" w:space="0" w:color="auto"/>
        <w:bottom w:val="none" w:sz="0" w:space="0" w:color="auto"/>
        <w:right w:val="none" w:sz="0" w:space="0" w:color="auto"/>
      </w:divBdr>
    </w:div>
    <w:div w:id="182315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earch/cognitive-search-attach-cognitive-services" TargetMode="External"/><Relationship Id="rId3" Type="http://schemas.openxmlformats.org/officeDocument/2006/relationships/webSettings" Target="webSettings.xml"/><Relationship Id="rId7" Type="http://schemas.openxmlformats.org/officeDocument/2006/relationships/hyperlink" Target="https://azure.microsoft.com/en-us/pricing/details/cognitive-serv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zure/search/cognitive-search-predefined-skill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zure.microsoft.com/en-us/pricing/detail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Romero</dc:creator>
  <cp:keywords/>
  <dc:description/>
  <cp:lastModifiedBy>Christopher Romero</cp:lastModifiedBy>
  <cp:revision>1</cp:revision>
  <dcterms:created xsi:type="dcterms:W3CDTF">2019-06-12T22:20:00Z</dcterms:created>
  <dcterms:modified xsi:type="dcterms:W3CDTF">2019-06-12T22:30:00Z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chromer@microsoft.com</vt:lpwstr>
  </property>
  <property fmtid="{D5CDD505-2E9C-101B-9397-08002B2CF9AE}" pid="5" name="MSIP_Label_f42aa342-8706-4288-bd11-ebb85995028c_SetDate">
    <vt:lpwstr>2019-06-12T22:30:27.4832464Z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88341b24-3e73-4f4a-9a8b-ff58418765e8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