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感知器实现逻辑与、非、或运算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691640" cy="1031875"/>
            <wp:effectExtent l="0" t="0" r="381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99765" cy="10382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感知器实现逻辑亦或运算</w:t>
      </w:r>
    </w:p>
    <w:p>
      <w:r>
        <w:drawing>
          <wp:inline distT="0" distB="0" distL="114300" distR="114300">
            <wp:extent cx="167640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3650" cy="10013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多层感知器实现点数据的动态分割，体会权重调整的过程</w:t>
      </w:r>
    </w:p>
    <w:p>
      <w:r>
        <w:drawing>
          <wp:inline distT="0" distB="0" distL="114300" distR="114300">
            <wp:extent cx="1596390" cy="1216660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99565" cy="1211580"/>
            <wp:effectExtent l="0" t="0" r="6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18920" cy="1148715"/>
            <wp:effectExtent l="0" t="0" r="508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梯度下降实现分类 ，体会采用经典梯度下降来动态调整权重最终实现分类</w:t>
      </w:r>
    </w:p>
    <w:p>
      <w:r>
        <w:drawing>
          <wp:inline distT="0" distB="0" distL="114300" distR="114300">
            <wp:extent cx="1892300" cy="14097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47850" cy="1374775"/>
            <wp:effectExtent l="0" t="0" r="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74190" cy="1323975"/>
            <wp:effectExtent l="0" t="0" r="1651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Task5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学生录取情况预测，采用最简单的神经网络实现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读取</w:t>
      </w:r>
      <w:r>
        <w:rPr>
          <w:rFonts w:hint="eastAsia"/>
          <w:lang w:val="en-US" w:eastAsia="zh-CN"/>
        </w:rPr>
        <w:t>studen_data.csv、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对rank特征进行one—hot编码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对几个特征的尺度进行统一，采用缩放方法统一到差不多区间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将数据分割为训练集和测试集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将数据分割为特征和标签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定义激活函数，激活函数的求导形式，梯度等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实现误差的反向传播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测试模型精度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78394"/>
    <w:multiLevelType w:val="singleLevel"/>
    <w:tmpl w:val="53F783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C580D"/>
    <w:rsid w:val="32A579BD"/>
    <w:rsid w:val="37063EB2"/>
    <w:rsid w:val="395E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zhangwenqi</dc:creator>
  <cp:lastModifiedBy>zhangwenqi</cp:lastModifiedBy>
  <dcterms:modified xsi:type="dcterms:W3CDTF">2018-10-26T10:31:54Z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