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影响因素的缓冲区大小设置的文献参考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2201_230601：通过相关回归得到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793750"/>
            <wp:effectExtent l="0" t="0" r="952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eastAsia"/>
          <w:lang w:val="en-US" w:eastAsia="zh-CN"/>
        </w:rPr>
        <w:t>2201_230604：</w:t>
      </w:r>
    </w:p>
    <w:p>
      <w:bookmarkStart w:id="0" w:name="_GoBack"/>
      <w:r>
        <w:drawing>
          <wp:inline distT="0" distB="0" distL="114300" distR="114300">
            <wp:extent cx="5266055" cy="411543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2201_230606：UCI尺度范围内结果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2201_230610&amp;2307_231105：水体缓冲区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2201_230612：300米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2201_230614：500米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66042740"/>
    <w:rsid w:val="0A075E5A"/>
    <w:rsid w:val="6604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2024-01-10T12:56:00Z</dcterms:created>
  <dc:creator>野草</dc:creator>
  <cp:lastModifiedBy>野草</cp:lastModifiedBy>
  <dcterms:modified xsi:type="dcterms:W3CDTF">2024-01-11T00:39:34Z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9C996E30D2D143FB951D23352C718787_11</vt:lpwstr>
  </property>
</Properties>
</file>