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B7530A">
      <w:pPr>
        <w:rPr>
          <w:rFonts w:hint="eastAsia"/>
          <w:lang w:val="en-US" w:eastAsia="zh-CN"/>
        </w:rPr>
      </w:pPr>
      <w:r>
        <w:rPr>
          <w:rFonts w:hint="eastAsia"/>
          <w:lang w:val="en-US" w:eastAsia="zh-CN"/>
        </w:rPr>
        <w:t>讨论部分</w:t>
      </w:r>
    </w:p>
    <w:p w14:paraId="3262D2E4">
      <w:pPr>
        <w:numPr>
          <w:ilvl w:val="0"/>
          <w:numId w:val="1"/>
        </w:numPr>
        <w:ind w:left="420" w:leftChars="0" w:hanging="420" w:firstLineChars="0"/>
        <w:rPr>
          <w:rFonts w:hint="default"/>
          <w:lang w:val="en-US" w:eastAsia="zh-CN"/>
        </w:rPr>
      </w:pPr>
      <w:r>
        <w:rPr>
          <w:rFonts w:hint="eastAsia"/>
          <w:lang w:val="en-US" w:eastAsia="zh-CN"/>
        </w:rPr>
        <w:t>热环境影响</w:t>
      </w:r>
    </w:p>
    <w:p w14:paraId="269A8E12">
      <w:pPr>
        <w:numPr>
          <w:ilvl w:val="0"/>
          <w:numId w:val="2"/>
        </w:numPr>
        <w:ind w:left="840" w:leftChars="0" w:hanging="420" w:firstLineChars="0"/>
        <w:rPr>
          <w:rFonts w:hint="default"/>
          <w:lang w:val="en-US" w:eastAsia="zh-CN"/>
        </w:rPr>
      </w:pPr>
      <w:r>
        <w:rPr>
          <w:rFonts w:hint="eastAsia"/>
          <w:lang w:val="en-US" w:eastAsia="zh-CN"/>
        </w:rPr>
        <w:t>已有大量研究表明绿地自身相对周边环境温度较低 (Park et al., 2021; Qi et al., 2022)。</w:t>
      </w:r>
    </w:p>
    <w:p w14:paraId="0E0EE617">
      <w:pPr>
        <w:numPr>
          <w:ilvl w:val="0"/>
          <w:numId w:val="2"/>
        </w:numPr>
        <w:ind w:left="840" w:leftChars="0" w:hanging="420" w:firstLineChars="0"/>
        <w:rPr>
          <w:rFonts w:hint="default"/>
          <w:lang w:val="en-US" w:eastAsia="zh-CN"/>
        </w:rPr>
      </w:pPr>
      <w:r>
        <w:rPr>
          <w:rFonts w:hint="eastAsia"/>
          <w:lang w:val="en-US" w:eastAsia="zh-CN"/>
        </w:rPr>
        <w:t>同时，还有不少研究分析了其对周边的降温作用，主要是通过遥感方法，而基于实地监测的方法相对较少 (</w:t>
      </w:r>
      <w:r>
        <w:rPr>
          <w:rFonts w:hint="default"/>
          <w:lang w:val="en-US" w:eastAsia="zh-CN"/>
        </w:rPr>
        <w:t>Dronova</w:t>
      </w:r>
      <w:r>
        <w:rPr>
          <w:rFonts w:hint="eastAsia"/>
          <w:lang w:val="en-US" w:eastAsia="zh-CN"/>
        </w:rPr>
        <w:t xml:space="preserve"> et al., 2018; Fan et al., 2019)。</w:t>
      </w:r>
    </w:p>
    <w:p w14:paraId="217C71D4">
      <w:pPr>
        <w:numPr>
          <w:ilvl w:val="0"/>
          <w:numId w:val="2"/>
        </w:numPr>
        <w:ind w:left="840" w:leftChars="0" w:hanging="420" w:firstLineChars="0"/>
        <w:rPr>
          <w:rFonts w:hint="default"/>
          <w:lang w:val="en-US" w:eastAsia="zh-CN"/>
        </w:rPr>
      </w:pPr>
      <w:r>
        <w:rPr>
          <w:rFonts w:hint="eastAsia"/>
          <w:lang w:val="en-US" w:eastAsia="zh-CN"/>
        </w:rPr>
        <w:t>本研究基于高密度监测网络，通过综合考虑2D和3D环境因素的影响，在一个大型城市公园系统性地分析了大型绿地对周边温度、湿度及舒适度的综合影响。</w:t>
      </w:r>
    </w:p>
    <w:p w14:paraId="268F239E">
      <w:pPr>
        <w:numPr>
          <w:ilvl w:val="0"/>
          <w:numId w:val="2"/>
        </w:numPr>
        <w:ind w:left="840" w:leftChars="0" w:hanging="420" w:firstLineChars="0"/>
        <w:rPr>
          <w:rFonts w:hint="default"/>
          <w:lang w:val="en-US" w:eastAsia="zh-CN"/>
        </w:rPr>
      </w:pPr>
      <w:r>
        <w:rPr>
          <w:rFonts w:hint="eastAsia"/>
          <w:lang w:val="en-US" w:eastAsia="zh-CN"/>
        </w:rPr>
        <w:t>研究发现，公园降温强度在夜间均值为1.7 ℃，降温距离在200-300米之间。相比于在北京奥林匹克森林公园的一项研究（这项研究发现，绿地降温距离可达1000米），该降温距离相对较低。这可能是因为中央公园的面积相对于其它大型公园（如北京奥森、南京紫金山等）较小。同时，上述公园所覆盖的植被类型以森林为主，而重庆中央公园部分区域被草坪所覆盖，森林覆盖率相对较低。</w:t>
      </w:r>
    </w:p>
    <w:p w14:paraId="7187BC90">
      <w:pPr>
        <w:numPr>
          <w:ilvl w:val="0"/>
          <w:numId w:val="2"/>
        </w:numPr>
        <w:ind w:left="840" w:leftChars="0" w:hanging="420" w:firstLineChars="0"/>
        <w:rPr>
          <w:rFonts w:hint="default"/>
          <w:lang w:val="en-US" w:eastAsia="zh-CN"/>
        </w:rPr>
      </w:pPr>
      <w:r>
        <w:rPr>
          <w:rFonts w:hint="eastAsia"/>
          <w:lang w:val="en-US" w:eastAsia="zh-CN"/>
        </w:rPr>
        <w:t>同时，本文的研究结果又与广州的研究结果接近 (Qi et al., 2022)。这表明本研究的结果对于城市内部的大型公园来说具有一定的代表性。</w:t>
      </w:r>
    </w:p>
    <w:p w14:paraId="6C356FEF">
      <w:pPr>
        <w:numPr>
          <w:ilvl w:val="0"/>
          <w:numId w:val="2"/>
        </w:numPr>
        <w:ind w:left="840" w:leftChars="0" w:hanging="420" w:firstLineChars="0"/>
        <w:rPr>
          <w:rFonts w:hint="default"/>
          <w:lang w:val="en-US" w:eastAsia="zh-CN"/>
        </w:rPr>
      </w:pPr>
    </w:p>
    <w:p w14:paraId="07812A5B">
      <w:pPr>
        <w:numPr>
          <w:ilvl w:val="0"/>
          <w:numId w:val="2"/>
        </w:numPr>
        <w:ind w:left="840" w:leftChars="0" w:hanging="420" w:firstLineChars="0"/>
        <w:rPr>
          <w:rFonts w:hint="default"/>
          <w:lang w:val="en-US" w:eastAsia="zh-CN"/>
        </w:rPr>
      </w:pPr>
      <w:r>
        <w:rPr>
          <w:rFonts w:hint="eastAsia"/>
          <w:lang w:val="en-US" w:eastAsia="zh-CN"/>
        </w:rPr>
        <w:t>通过昼夜对比，本研究也发现了夜间更强的绿地降温效应，这一现象已被一些研究发现。这是因为夜间周边建筑的储热释放导致建筑覆盖区域的温度较高，而植被区域由于没有储热释放导致温度较低，因此夜间的绿地降温强度和降温距离均显著大于白天。</w:t>
      </w:r>
    </w:p>
    <w:p w14:paraId="5FACB667">
      <w:pPr>
        <w:numPr>
          <w:ilvl w:val="0"/>
          <w:numId w:val="2"/>
        </w:numPr>
        <w:ind w:left="840" w:leftChars="0" w:hanging="420" w:firstLineChars="0"/>
        <w:rPr>
          <w:rFonts w:hint="default"/>
          <w:lang w:val="en-US" w:eastAsia="zh-CN"/>
        </w:rPr>
      </w:pPr>
    </w:p>
    <w:p w14:paraId="781588DF">
      <w:pPr>
        <w:numPr>
          <w:ilvl w:val="0"/>
          <w:numId w:val="2"/>
        </w:numPr>
        <w:ind w:left="840" w:leftChars="0" w:hanging="420" w:firstLineChars="0"/>
        <w:rPr>
          <w:rFonts w:hint="default"/>
          <w:lang w:val="en-US" w:eastAsia="zh-CN"/>
        </w:rPr>
      </w:pPr>
      <w:r>
        <w:rPr>
          <w:rFonts w:hint="eastAsia"/>
          <w:lang w:val="en-US" w:eastAsia="zh-CN"/>
        </w:rPr>
        <w:t>与以往研究不同的是，本研究还探讨了绿地对周围环境湿度的影响。研究发现绿地对湿度的影响与温度相反，这与预期一致，因为温度的上升会导致饱和蒸气压的增加，在相同水分含量的情况下，相对湿度会出现下降。此外，温度下降显著的区域往往是由于受到来自绿地的较冷湿的气流影响，因此相应区域受气流影响的水分含量会增加。</w:t>
      </w:r>
    </w:p>
    <w:p w14:paraId="3BFA1D12">
      <w:pPr>
        <w:numPr>
          <w:ilvl w:val="0"/>
          <w:numId w:val="2"/>
        </w:numPr>
        <w:ind w:left="840" w:leftChars="0" w:hanging="420" w:firstLineChars="0"/>
        <w:rPr>
          <w:rFonts w:hint="default"/>
          <w:lang w:val="en-US" w:eastAsia="zh-CN"/>
        </w:rPr>
      </w:pPr>
    </w:p>
    <w:p w14:paraId="28F96432">
      <w:pPr>
        <w:numPr>
          <w:ilvl w:val="0"/>
          <w:numId w:val="2"/>
        </w:numPr>
        <w:ind w:left="840" w:leftChars="0" w:hanging="420" w:firstLineChars="0"/>
        <w:rPr>
          <w:rFonts w:hint="default"/>
          <w:lang w:val="en-US" w:eastAsia="zh-CN"/>
        </w:rPr>
      </w:pPr>
      <w:r>
        <w:rPr>
          <w:rFonts w:hint="eastAsia"/>
          <w:lang w:val="en-US" w:eastAsia="zh-CN"/>
        </w:rPr>
        <w:t>综合温湿度的影响，我们发现虽然绿地导致周边地区的相对湿度增加，但热舒适度仍然下降，这表明湿度的增加不足以抵消绿地导致的温度下降，因此绿地仍能够改善夏季热舒适状态。</w:t>
      </w:r>
    </w:p>
    <w:p w14:paraId="3040D25B">
      <w:pPr>
        <w:numPr>
          <w:ilvl w:val="0"/>
          <w:numId w:val="1"/>
        </w:numPr>
        <w:ind w:left="420" w:leftChars="0" w:hanging="420" w:firstLineChars="0"/>
        <w:rPr>
          <w:rFonts w:hint="default"/>
          <w:lang w:val="en-US" w:eastAsia="zh-CN"/>
        </w:rPr>
      </w:pPr>
      <w:r>
        <w:rPr>
          <w:rFonts w:hint="eastAsia"/>
          <w:lang w:val="en-US" w:eastAsia="zh-CN"/>
        </w:rPr>
        <w:t>热环境影响因素</w:t>
      </w:r>
    </w:p>
    <w:p w14:paraId="25833E1C">
      <w:pPr>
        <w:numPr>
          <w:ilvl w:val="0"/>
          <w:numId w:val="3"/>
        </w:numPr>
        <w:ind w:left="840" w:leftChars="0" w:hanging="420" w:firstLineChars="0"/>
        <w:rPr>
          <w:rFonts w:hint="default"/>
          <w:lang w:val="en-US" w:eastAsia="zh-CN"/>
        </w:rPr>
      </w:pPr>
      <w:r>
        <w:rPr>
          <w:rFonts w:hint="eastAsia"/>
          <w:lang w:val="en-US" w:eastAsia="zh-CN"/>
        </w:rPr>
        <w:t>对于绿地降温，以往的研究主要关注土地覆盖指标，对三维形态指标的考虑不足。本研究发现，相对于二维指标，三维指标的影响更为显著。其中，在夜间未受公园降温显著影响的区域，对气温影响最为显著的环境因素的排序依次为：平均建筑高度、植被面积、SVF、建筑面积，而在白天，SVF的作用则更为显著。</w:t>
      </w:r>
    </w:p>
    <w:p w14:paraId="34AE8BAE">
      <w:pPr>
        <w:numPr>
          <w:ilvl w:val="0"/>
          <w:numId w:val="3"/>
        </w:numPr>
        <w:ind w:left="840" w:leftChars="0" w:hanging="420" w:firstLineChars="0"/>
        <w:rPr>
          <w:rFonts w:hint="default"/>
          <w:lang w:val="en-US" w:eastAsia="zh-CN"/>
        </w:rPr>
      </w:pPr>
      <w:r>
        <w:rPr>
          <w:rFonts w:hint="eastAsia"/>
          <w:lang w:val="en-US" w:eastAsia="zh-CN"/>
        </w:rPr>
        <w:t>事实上，建筑可以通过储热/释放热、改变阴影改变热环境格局。</w:t>
      </w:r>
    </w:p>
    <w:p w14:paraId="39AC081C">
      <w:pPr>
        <w:numPr>
          <w:ilvl w:val="0"/>
          <w:numId w:val="3"/>
        </w:numPr>
        <w:ind w:left="840" w:leftChars="0" w:hanging="420" w:firstLineChars="0"/>
        <w:rPr>
          <w:rFonts w:hint="default"/>
          <w:lang w:val="en-US" w:eastAsia="zh-CN"/>
        </w:rPr>
      </w:pPr>
      <w:r>
        <w:rPr>
          <w:rFonts w:hint="eastAsia"/>
          <w:lang w:val="en-US" w:eastAsia="zh-CN"/>
        </w:rPr>
        <w:t>因此，在未来的研究中，更应该考虑三维因素的影响。</w:t>
      </w:r>
    </w:p>
    <w:p w14:paraId="2A7A7AD6">
      <w:pPr>
        <w:numPr>
          <w:ilvl w:val="0"/>
          <w:numId w:val="1"/>
        </w:numPr>
        <w:ind w:left="420" w:leftChars="0" w:hanging="420" w:firstLineChars="0"/>
        <w:rPr>
          <w:rFonts w:hint="default"/>
          <w:lang w:val="en-US" w:eastAsia="zh-CN"/>
        </w:rPr>
      </w:pPr>
      <w:r>
        <w:rPr>
          <w:rFonts w:hint="eastAsia"/>
          <w:lang w:val="en-US" w:eastAsia="zh-CN"/>
        </w:rPr>
        <w:t>降温指标影响</w:t>
      </w:r>
    </w:p>
    <w:p w14:paraId="47F38428">
      <w:pPr>
        <w:numPr>
          <w:ilvl w:val="0"/>
          <w:numId w:val="4"/>
        </w:numPr>
        <w:tabs>
          <w:tab w:val="clear" w:pos="420"/>
        </w:tabs>
        <w:ind w:left="840" w:leftChars="0" w:hanging="420" w:firstLineChars="0"/>
        <w:rPr>
          <w:rFonts w:hint="default"/>
          <w:lang w:val="en-US" w:eastAsia="zh-CN"/>
        </w:rPr>
      </w:pPr>
      <w:r>
        <w:rPr>
          <w:rFonts w:hint="eastAsia"/>
          <w:lang w:val="en-US" w:eastAsia="zh-CN"/>
        </w:rPr>
        <w:t>对于降温指标，我们发现土地覆盖的作用更为微弱，而建筑指标的作用则更为突出。其中，建筑高度越高，降温距离和降温强度均显著减弱，这很好理解。因为建筑高度越高，对公园降温的阻挡效应就越显著，来自绿地的较凉的气流就越弱。此外，街道宽度有负面影响，这可能是因为建筑面积越小，来自绿地的较冷的气流的聚集程度就更差，因此对所在区域的降温效应起着削弱的作用。此外，街道也起到一定的作用，因为街道越宽，建筑面积就越小。</w:t>
      </w:r>
    </w:p>
    <w:p w14:paraId="59470B10">
      <w:pPr>
        <w:numPr>
          <w:ilvl w:val="0"/>
          <w:numId w:val="0"/>
        </w:numPr>
        <w:rPr>
          <w:rFonts w:hint="default"/>
          <w:lang w:val="en-US" w:eastAsia="zh-CN"/>
        </w:rPr>
      </w:pPr>
    </w:p>
    <w:p w14:paraId="5A4910CF">
      <w:pPr>
        <w:numPr>
          <w:ilvl w:val="0"/>
          <w:numId w:val="1"/>
        </w:numPr>
        <w:ind w:left="420" w:leftChars="0" w:hanging="420" w:firstLineChars="0"/>
        <w:rPr>
          <w:rFonts w:hint="default"/>
          <w:lang w:val="en-US" w:eastAsia="zh-CN"/>
        </w:rPr>
      </w:pPr>
      <w:r>
        <w:rPr>
          <w:rFonts w:hint="eastAsia"/>
          <w:lang w:val="en-US" w:eastAsia="zh-CN"/>
        </w:rPr>
        <w:t>规划意义</w:t>
      </w:r>
    </w:p>
    <w:p w14:paraId="15304550">
      <w:pPr>
        <w:numPr>
          <w:ilvl w:val="0"/>
          <w:numId w:val="5"/>
        </w:numPr>
        <w:tabs>
          <w:tab w:val="clear" w:pos="420"/>
        </w:tabs>
        <w:ind w:left="840" w:leftChars="0" w:hanging="420" w:firstLineChars="0"/>
        <w:rPr>
          <w:rFonts w:hint="default"/>
          <w:lang w:val="en-US" w:eastAsia="zh-CN"/>
        </w:rPr>
      </w:pPr>
      <w:r>
        <w:rPr>
          <w:rFonts w:hint="eastAsia"/>
          <w:lang w:val="en-US" w:eastAsia="zh-CN"/>
        </w:rPr>
        <w:t>中国城市化过程还在进行中，还有很多新区正在开发，同时老城区也在开展城市改造工作，基于当前研究结果为未来大型城市绿地周边规划设计具有较大的意义。</w:t>
      </w:r>
    </w:p>
    <w:p w14:paraId="02853195">
      <w:pPr>
        <w:numPr>
          <w:ilvl w:val="0"/>
          <w:numId w:val="5"/>
        </w:numPr>
        <w:tabs>
          <w:tab w:val="clear" w:pos="420"/>
        </w:tabs>
        <w:ind w:left="840" w:leftChars="0" w:hanging="420" w:firstLineChars="0"/>
        <w:rPr>
          <w:rFonts w:hint="default"/>
          <w:lang w:val="en-US" w:eastAsia="zh-CN"/>
        </w:rPr>
      </w:pPr>
      <w:r>
        <w:rPr>
          <w:rFonts w:hint="eastAsia"/>
          <w:lang w:val="en-US" w:eastAsia="zh-CN"/>
        </w:rPr>
        <w:t>在对绿地周边进行城市规划时，相对于土地覆盖的分析，建筑高度、街道宽度等城市形态指标应该重点考虑。</w:t>
      </w:r>
    </w:p>
    <w:p w14:paraId="60461FC8">
      <w:pPr>
        <w:numPr>
          <w:ilvl w:val="0"/>
          <w:numId w:val="5"/>
        </w:numPr>
        <w:tabs>
          <w:tab w:val="clear" w:pos="420"/>
        </w:tabs>
        <w:ind w:left="840" w:leftChars="0" w:hanging="420" w:firstLineChars="0"/>
        <w:rPr>
          <w:rFonts w:hint="default"/>
          <w:lang w:val="en-US" w:eastAsia="zh-CN"/>
        </w:rPr>
      </w:pPr>
      <w:r>
        <w:rPr>
          <w:rFonts w:hint="eastAsia"/>
          <w:lang w:val="en-US" w:eastAsia="zh-CN"/>
        </w:rPr>
        <w:t>为了提升夏季热环境，在未来公园周边建设过程中，应当适当增加建筑密度，以促进通风，通时适当降低建筑高度，以减少建筑热的释放，以进一步改善热舒适状况。</w:t>
      </w:r>
    </w:p>
    <w:p w14:paraId="400AD7A4">
      <w:pPr>
        <w:numPr>
          <w:ilvl w:val="0"/>
          <w:numId w:val="1"/>
        </w:numPr>
        <w:ind w:left="420" w:leftChars="0" w:hanging="420" w:firstLineChars="0"/>
        <w:rPr>
          <w:rFonts w:hint="default"/>
          <w:lang w:val="en-US" w:eastAsia="zh-CN"/>
        </w:rPr>
      </w:pPr>
      <w:r>
        <w:rPr>
          <w:rFonts w:hint="eastAsia"/>
          <w:lang w:val="en-US" w:eastAsia="zh-CN"/>
        </w:rPr>
        <w:t>研究不足与未来计划</w:t>
      </w:r>
    </w:p>
    <w:p w14:paraId="34039305">
      <w:pPr>
        <w:numPr>
          <w:ilvl w:val="0"/>
          <w:numId w:val="6"/>
        </w:numPr>
        <w:tabs>
          <w:tab w:val="clear" w:pos="420"/>
        </w:tabs>
        <w:ind w:left="840" w:leftChars="0" w:hanging="420" w:firstLineChars="0"/>
        <w:rPr>
          <w:rFonts w:hint="default"/>
          <w:lang w:val="en-US" w:eastAsia="zh-CN"/>
        </w:rPr>
      </w:pPr>
      <w:r>
        <w:rPr>
          <w:rFonts w:hint="eastAsia"/>
          <w:lang w:val="en-US" w:eastAsia="zh-CN"/>
        </w:rPr>
        <w:t>公园数量有限。</w:t>
      </w:r>
    </w:p>
    <w:p w14:paraId="2E906EEE">
      <w:pPr>
        <w:numPr>
          <w:ilvl w:val="0"/>
          <w:numId w:val="6"/>
        </w:numPr>
        <w:tabs>
          <w:tab w:val="clear" w:pos="420"/>
        </w:tabs>
        <w:ind w:left="840" w:leftChars="0" w:hanging="420" w:firstLineChars="0"/>
        <w:rPr>
          <w:rFonts w:hint="default"/>
          <w:lang w:val="en-US" w:eastAsia="zh-CN"/>
        </w:rPr>
      </w:pPr>
      <w:r>
        <w:rPr>
          <w:rFonts w:hint="eastAsia"/>
          <w:lang w:val="en-US" w:eastAsia="zh-CN"/>
        </w:rPr>
        <w:t>需要关注更多时间。</w:t>
      </w:r>
    </w:p>
    <w:p w14:paraId="4367719D">
      <w:pPr>
        <w:numPr>
          <w:ilvl w:val="0"/>
          <w:numId w:val="6"/>
        </w:numPr>
        <w:tabs>
          <w:tab w:val="clear" w:pos="420"/>
        </w:tabs>
        <w:ind w:left="840" w:leftChars="0" w:hanging="420" w:firstLineChars="0"/>
        <w:rPr>
          <w:rFonts w:hint="default"/>
          <w:lang w:val="en-US" w:eastAsia="zh-CN"/>
        </w:rPr>
      </w:pPr>
      <w:r>
        <w:rPr>
          <w:rFonts w:hint="eastAsia"/>
          <w:lang w:val="en-US" w:eastAsia="zh-CN"/>
        </w:rPr>
        <w:t>建筑材料等其它因素</w:t>
      </w:r>
    </w:p>
    <w:p w14:paraId="14CC1F73">
      <w:pPr>
        <w:numPr>
          <w:ilvl w:val="0"/>
          <w:numId w:val="6"/>
        </w:numPr>
        <w:tabs>
          <w:tab w:val="clear" w:pos="420"/>
        </w:tabs>
        <w:ind w:left="840" w:leftChars="0" w:hanging="420" w:firstLineChars="0"/>
        <w:rPr>
          <w:rFonts w:hint="default"/>
          <w:lang w:val="en-US" w:eastAsia="zh-CN"/>
        </w:rPr>
      </w:pPr>
      <w:r>
        <w:rPr>
          <w:rFonts w:hint="eastAsia"/>
          <w:lang w:val="en-US" w:eastAsia="zh-CN"/>
        </w:rPr>
        <w:t>建筑形态需要更多</w:t>
      </w:r>
      <w:bookmarkStart w:id="0" w:name="_GoBack"/>
      <w:bookmarkEnd w:id="0"/>
    </w:p>
    <w:p w14:paraId="1812670B">
      <w:pPr>
        <w:widowControl w:val="0"/>
        <w:numPr>
          <w:numId w:val="0"/>
        </w:numPr>
        <w:jc w:val="both"/>
        <w:rPr>
          <w:rFonts w:hint="default"/>
          <w:lang w:val="en-US" w:eastAsia="zh-CN"/>
        </w:rPr>
      </w:pPr>
    </w:p>
    <w:p w14:paraId="4E639F2C">
      <w:pPr>
        <w:widowControl w:val="0"/>
        <w:numPr>
          <w:numId w:val="0"/>
        </w:numPr>
        <w:jc w:val="both"/>
        <w:rPr>
          <w:rFonts w:hint="default"/>
          <w:lang w:val="en-US" w:eastAsia="zh-CN"/>
        </w:rPr>
      </w:pPr>
    </w:p>
    <w:p w14:paraId="1CFDE294">
      <w:pPr>
        <w:widowControl w:val="0"/>
        <w:numPr>
          <w:numId w:val="0"/>
        </w:numPr>
        <w:jc w:val="both"/>
        <w:rPr>
          <w:rFonts w:hint="default"/>
          <w:lang w:val="en-US" w:eastAsia="zh-CN"/>
        </w:rPr>
      </w:pPr>
    </w:p>
    <w:p w14:paraId="665F14A5">
      <w:pPr>
        <w:pStyle w:val="2"/>
        <w:bidi w:val="0"/>
        <w:rPr>
          <w:rFonts w:hint="eastAsia"/>
          <w:lang w:val="en-US" w:eastAsia="zh-CN"/>
        </w:rPr>
      </w:pPr>
      <w:r>
        <w:rPr>
          <w:rFonts w:hint="eastAsia"/>
          <w:lang w:val="en-US" w:eastAsia="zh-CN"/>
        </w:rPr>
        <w:t>参考文献</w:t>
      </w:r>
    </w:p>
    <w:p w14:paraId="42CBA827">
      <w:pPr>
        <w:pStyle w:val="5"/>
        <w:bidi w:val="0"/>
        <w:rPr>
          <w:rFonts w:hint="default"/>
        </w:rPr>
      </w:pPr>
      <w:r>
        <w:t>Qi, Q., Meng, Q., Wang, J., He, B., Liang, H., &amp; Ren, P. (2022). Applicability of mobile-measurement strategies to different periods: A field campaign in a precinct with a block park.</w:t>
      </w:r>
      <w:r>
        <w:rPr>
          <w:rFonts w:hint="default"/>
        </w:rPr>
        <w:t> Building and Environment, 211, 108762.</w:t>
      </w:r>
    </w:p>
    <w:p w14:paraId="3303887F">
      <w:pPr>
        <w:pStyle w:val="5"/>
        <w:bidi w:val="0"/>
        <w:rPr>
          <w:rFonts w:hint="default"/>
        </w:rPr>
      </w:pPr>
      <w:r>
        <w:t>Park, J., Kim, J. H., Sohn, W., &amp; Lee, D. K. (2021). Urban cooling factors: Do small greenspaces outperform building shade in mitigating urban heat island intensity?.</w:t>
      </w:r>
      <w:r>
        <w:rPr>
          <w:rFonts w:hint="default"/>
        </w:rPr>
        <w:t> Urban Forestry &amp; Urban Greening, 64, 127256.</w:t>
      </w:r>
    </w:p>
    <w:p w14:paraId="11FC11C3">
      <w:pPr>
        <w:pStyle w:val="5"/>
        <w:numPr>
          <w:ilvl w:val="0"/>
          <w:numId w:val="7"/>
        </w:numPr>
        <w:bidi w:val="0"/>
        <w:rPr>
          <w:rFonts w:hint="default"/>
          <w:lang w:val="en-US" w:eastAsia="zh-CN"/>
        </w:rPr>
      </w:pPr>
      <w:r>
        <w:rPr>
          <w:rFonts w:hint="default"/>
          <w:lang w:val="en-US" w:eastAsia="zh-CN"/>
        </w:rPr>
        <w:t>Dronova, M. Friedman, I. McRae, F.H. Kong, H.W. Yin, Spatio-temporal nonuniformity of urban park greenness and thermal characteristics in a semi-arid region, Urban For. Urban Green. 34 (2018) 44–54, https://doi.org/10.1016/j. ufug.2018.05.009.</w:t>
      </w:r>
    </w:p>
    <w:p w14:paraId="5DC952B9">
      <w:pPr>
        <w:pStyle w:val="5"/>
        <w:numPr>
          <w:numId w:val="0"/>
        </w:numPr>
        <w:bidi w:val="0"/>
        <w:rPr>
          <w:rFonts w:hint="default"/>
          <w:lang w:val="en-US" w:eastAsia="zh-CN"/>
        </w:rPr>
      </w:pPr>
      <w:r>
        <w:rPr>
          <w:rFonts w:hint="default"/>
          <w:lang w:val="en-US" w:eastAsia="zh-CN"/>
        </w:rPr>
        <w:t>H.Y. Fan, Z.W. Yu, G.Y. Yang, T.Y. Liu, T.Y. Liu, C.H. Hung, H. Vejre, How to cool hot-humid (Asian) cities with urban trees? An optimal landscape size perspective, Agric. For. Meteorol. 265 (2019) 338–348, https://doi.org/10.1016/j. agrformet.2018.11.027.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2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T">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TI">
    <w:altName w:val="ESRI AMFM Electric"/>
    <w:panose1 w:val="00000000000000000000"/>
    <w:charset w:val="00"/>
    <w:family w:val="auto"/>
    <w:pitch w:val="default"/>
    <w:sig w:usb0="00000000" w:usb1="00000000" w:usb2="00000000" w:usb3="00000000" w:csb0="00000000" w:csb1="00000000"/>
  </w:font>
  <w:font w:name="TiM">
    <w:altName w:val="ESRI AMFM Electric"/>
    <w:panose1 w:val="00000000000000000000"/>
    <w:charset w:val="00"/>
    <w:family w:val="auto"/>
    <w:pitch w:val="default"/>
    <w:sig w:usb0="00000000" w:usb1="00000000" w:usb2="00000000" w:usb3="00000000" w:csb0="00000000" w:csb1="00000000"/>
  </w:font>
  <w:font w:name="TimE">
    <w:altName w:val="ESRI AMFM Electri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056CA4"/>
    <w:multiLevelType w:val="singleLevel"/>
    <w:tmpl w:val="83056CA4"/>
    <w:lvl w:ilvl="0" w:tentative="0">
      <w:start w:val="1"/>
      <w:numFmt w:val="bullet"/>
      <w:lvlText w:val=""/>
      <w:lvlJc w:val="left"/>
      <w:pPr>
        <w:ind w:left="420" w:hanging="420"/>
      </w:pPr>
      <w:rPr>
        <w:rFonts w:hint="default" w:ascii="Wingdings" w:hAnsi="Wingdings"/>
      </w:rPr>
    </w:lvl>
  </w:abstractNum>
  <w:abstractNum w:abstractNumId="1">
    <w:nsid w:val="9D7C533F"/>
    <w:multiLevelType w:val="singleLevel"/>
    <w:tmpl w:val="9D7C533F"/>
    <w:lvl w:ilvl="0" w:tentative="0">
      <w:start w:val="1"/>
      <w:numFmt w:val="bullet"/>
      <w:lvlText w:val=""/>
      <w:lvlJc w:val="left"/>
      <w:pPr>
        <w:tabs>
          <w:tab w:val="left" w:pos="420"/>
        </w:tabs>
        <w:ind w:left="840" w:hanging="420"/>
      </w:pPr>
      <w:rPr>
        <w:rFonts w:hint="default" w:ascii="Wingdings" w:hAnsi="Wingdings"/>
      </w:rPr>
    </w:lvl>
  </w:abstractNum>
  <w:abstractNum w:abstractNumId="2">
    <w:nsid w:val="B3CC0CC5"/>
    <w:multiLevelType w:val="multilevel"/>
    <w:tmpl w:val="B3CC0CC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rPr>
    </w:lvl>
    <w:lvl w:ilvl="2" w:tentative="0">
      <w:start w:val="1"/>
      <w:numFmt w:val="bullet"/>
      <w:lvlText w:val=""/>
      <w:lvlJc w:val="left"/>
      <w:pPr>
        <w:tabs>
          <w:tab w:val="left" w:pos="1260"/>
        </w:tabs>
        <w:ind w:left="1260" w:leftChars="0" w:hanging="420" w:firstLineChars="0"/>
      </w:pPr>
      <w:rPr>
        <w:rFonts w:hint="default"/>
      </w:rPr>
    </w:lvl>
    <w:lvl w:ilvl="3" w:tentative="0">
      <w:start w:val="1"/>
      <w:numFmt w:val="bullet"/>
      <w:lvlText w:val=""/>
      <w:lvlJc w:val="left"/>
      <w:pPr>
        <w:tabs>
          <w:tab w:val="left" w:pos="1680"/>
        </w:tabs>
        <w:ind w:left="1680" w:leftChars="0" w:hanging="420" w:firstLineChars="0"/>
      </w:pPr>
      <w:rPr>
        <w:rFonts w:hint="default"/>
      </w:rPr>
    </w:lvl>
    <w:lvl w:ilvl="4" w:tentative="0">
      <w:start w:val="1"/>
      <w:numFmt w:val="bullet"/>
      <w:lvlText w:val=""/>
      <w:lvlJc w:val="left"/>
      <w:pPr>
        <w:tabs>
          <w:tab w:val="left" w:pos="2100"/>
        </w:tabs>
        <w:ind w:left="2100" w:leftChars="0" w:hanging="420" w:firstLineChars="0"/>
      </w:pPr>
      <w:rPr>
        <w:rFonts w:hint="default"/>
      </w:rPr>
    </w:lvl>
    <w:lvl w:ilvl="5" w:tentative="0">
      <w:start w:val="1"/>
      <w:numFmt w:val="bullet"/>
      <w:lvlText w:val=""/>
      <w:lvlJc w:val="left"/>
      <w:pPr>
        <w:tabs>
          <w:tab w:val="left" w:pos="2520"/>
        </w:tabs>
        <w:ind w:left="2520" w:leftChars="0" w:hanging="420" w:firstLineChars="0"/>
      </w:pPr>
      <w:rPr>
        <w:rFonts w:hint="default"/>
      </w:rPr>
    </w:lvl>
    <w:lvl w:ilvl="6" w:tentative="0">
      <w:start w:val="1"/>
      <w:numFmt w:val="bullet"/>
      <w:lvlText w:val=""/>
      <w:lvlJc w:val="left"/>
      <w:pPr>
        <w:tabs>
          <w:tab w:val="left" w:pos="2940"/>
        </w:tabs>
        <w:ind w:left="2940" w:leftChars="0" w:hanging="420" w:firstLineChars="0"/>
      </w:pPr>
      <w:rPr>
        <w:rFonts w:hint="default"/>
      </w:rPr>
    </w:lvl>
    <w:lvl w:ilvl="7" w:tentative="0">
      <w:start w:val="1"/>
      <w:numFmt w:val="bullet"/>
      <w:lvlText w:val=""/>
      <w:lvlJc w:val="left"/>
      <w:pPr>
        <w:tabs>
          <w:tab w:val="left" w:pos="3360"/>
        </w:tabs>
        <w:ind w:left="3360" w:leftChars="0" w:hanging="420" w:firstLineChars="0"/>
      </w:pPr>
      <w:rPr>
        <w:rFonts w:hint="default"/>
      </w:rPr>
    </w:lvl>
    <w:lvl w:ilvl="8" w:tentative="0">
      <w:start w:val="1"/>
      <w:numFmt w:val="bullet"/>
      <w:lvlText w:val=""/>
      <w:lvlJc w:val="left"/>
      <w:pPr>
        <w:tabs>
          <w:tab w:val="left" w:pos="3780"/>
        </w:tabs>
        <w:ind w:left="3780" w:leftChars="0" w:hanging="420" w:firstLineChars="0"/>
      </w:pPr>
      <w:rPr>
        <w:rFonts w:hint="default"/>
      </w:rPr>
    </w:lvl>
  </w:abstractNum>
  <w:abstractNum w:abstractNumId="3">
    <w:nsid w:val="C3080C8B"/>
    <w:multiLevelType w:val="singleLevel"/>
    <w:tmpl w:val="C3080C8B"/>
    <w:lvl w:ilvl="0" w:tentative="0">
      <w:start w:val="1"/>
      <w:numFmt w:val="bullet"/>
      <w:lvlText w:val=""/>
      <w:lvlJc w:val="left"/>
      <w:pPr>
        <w:tabs>
          <w:tab w:val="left" w:pos="420"/>
        </w:tabs>
        <w:ind w:left="840" w:hanging="420"/>
      </w:pPr>
      <w:rPr>
        <w:rFonts w:hint="default" w:ascii="Wingdings" w:hAnsi="Wingdings"/>
      </w:rPr>
    </w:lvl>
  </w:abstractNum>
  <w:abstractNum w:abstractNumId="4">
    <w:nsid w:val="C7E9F561"/>
    <w:multiLevelType w:val="singleLevel"/>
    <w:tmpl w:val="C7E9F561"/>
    <w:lvl w:ilvl="0" w:tentative="0">
      <w:start w:val="1"/>
      <w:numFmt w:val="bullet"/>
      <w:lvlText w:val=""/>
      <w:lvlJc w:val="left"/>
      <w:pPr>
        <w:tabs>
          <w:tab w:val="left" w:pos="420"/>
        </w:tabs>
        <w:ind w:left="840" w:hanging="420"/>
      </w:pPr>
      <w:rPr>
        <w:rFonts w:hint="default" w:ascii="Wingdings" w:hAnsi="Wingdings"/>
      </w:rPr>
    </w:lvl>
  </w:abstractNum>
  <w:abstractNum w:abstractNumId="5">
    <w:nsid w:val="331EF4E4"/>
    <w:multiLevelType w:val="singleLevel"/>
    <w:tmpl w:val="331EF4E4"/>
    <w:lvl w:ilvl="0" w:tentative="0">
      <w:start w:val="1"/>
      <w:numFmt w:val="upperRoman"/>
      <w:suff w:val="space"/>
      <w:lvlText w:val="%1."/>
      <w:lvlJc w:val="left"/>
    </w:lvl>
  </w:abstractNum>
  <w:abstractNum w:abstractNumId="6">
    <w:nsid w:val="7C3A71DE"/>
    <w:multiLevelType w:val="singleLevel"/>
    <w:tmpl w:val="7C3A71DE"/>
    <w:lvl w:ilvl="0" w:tentative="0">
      <w:start w:val="1"/>
      <w:numFmt w:val="bullet"/>
      <w:lvlText w:val=""/>
      <w:lvlJc w:val="left"/>
      <w:pPr>
        <w:tabs>
          <w:tab w:val="left" w:pos="420"/>
        </w:tabs>
        <w:ind w:left="840" w:hanging="420"/>
      </w:pPr>
      <w:rPr>
        <w:rFonts w:hint="default" w:ascii="Wingdings" w:hAnsi="Wingdings"/>
      </w:rPr>
    </w:lvl>
  </w:abstractNum>
  <w:num w:numId="1">
    <w:abstractNumId w:val="2"/>
  </w:num>
  <w:num w:numId="2">
    <w:abstractNumId w:val="0"/>
  </w:num>
  <w:num w:numId="3">
    <w:abstractNumId w:val="3"/>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I1OTVmMTA5NzJlZWRlMzVmMDExMGQ2YTg0NzQ1NjIifQ=="/>
  </w:docVars>
  <w:rsids>
    <w:rsidRoot w:val="4E83557E"/>
    <w:rsid w:val="1124702B"/>
    <w:rsid w:val="156264EB"/>
    <w:rsid w:val="169A31B6"/>
    <w:rsid w:val="16EF5C91"/>
    <w:rsid w:val="24AC4F0D"/>
    <w:rsid w:val="312D006A"/>
    <w:rsid w:val="463A5975"/>
    <w:rsid w:val="4E83557E"/>
    <w:rsid w:val="546417F1"/>
    <w:rsid w:val="59E20F76"/>
    <w:rsid w:val="5EAB7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5">
    <w:name w:val="参考文献"/>
    <w:basedOn w:val="1"/>
    <w:uiPriority w:val="0"/>
    <w:rPr>
      <w:rFonts w:ascii="Times New Roman" w:hAnsi="Times New Roman" w:eastAsia="SimSun" w:cs="Arial"/>
      <w:color w:val="222222"/>
      <w:sz w:val="13"/>
      <w:szCs w:val="13"/>
      <w:shd w:val="clear" w:fill="FFFFFF"/>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1157</Words>
  <Characters>1173</Characters>
  <Lines>0</Lines>
  <Paragraphs>0</Paragraphs>
  <TotalTime>56</TotalTime>
  <ScaleCrop>false</ScaleCrop>
  <LinksUpToDate>false</LinksUpToDate>
  <CharactersWithSpaces>1173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2024-10-28T15:09:00Z</dcterms:created>
  <dc:creator>野草</dc:creator>
  <cp:lastModifiedBy>野草</cp:lastModifiedBy>
  <dcterms:modified xsi:type="dcterms:W3CDTF">2024-11-01T02:42:09Z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5C934750D1174FA1A974D9904B7F4309_11</vt:lpwstr>
  </property>
</Properties>
</file>