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论文创新点：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相对于传统的基于遥感的公园降温效应，本研究率先基于实测数据量化了公园降温效应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关注湿度、热舒适度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urban-parkland nocturnal temperature interface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ilvl w:val="0"/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：几乎没有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：约200米内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（200-800米）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总结：根据上述结果，本研究将公园降温渗透距离定为200+米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/下午/晚上的降温强度【up2024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：上午、中午降温强于下午（上午接近2度，下午接近1度，针对有树的类型）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：下午最强，晚上仍然有降温效应，但相对较弱（下午在1度以上，晚上在0.5度左右）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晚上1.5度左右，下午1度左右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：夜间降温比白天明显（1.5-2度）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0701 10:35】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（夜间可下降10%，白天下降在3%以内）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影响因素【up2024 0701 10:35】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single"/>
          <w:lang w:val="en-US" w:eastAsia="zh-CN"/>
        </w:rPr>
        <w:t>：与公园距离、植被覆盖比、不透水面覆盖比、LSI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  <w:r>
        <w:rPr>
          <w:rFonts w:hint="eastAsia"/>
          <w:u w:val="single"/>
          <w:lang w:val="en-US" w:eastAsia="zh-CN"/>
        </w:rPr>
        <w:t>：街道宽度、街道高宽比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平均建筑高度、FAR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测量时长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：4天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：1天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风向、风速影响降温距离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图表1【放弃】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lang w:val="en-US" w:eastAsia="zh-CN"/>
        </w:rPr>
        <w:t>，上下晚，</w:t>
      </w:r>
      <w:bookmarkStart w:id="5" w:name="OLE_LINK7"/>
      <w:r>
        <w:rPr>
          <w:rFonts w:hint="eastAsia"/>
          <w:lang w:val="en-US" w:eastAsia="zh-CN"/>
        </w:rPr>
        <w:t>TA/RH/TC</w:t>
      </w:r>
      <w:bookmarkEnd w:id="4"/>
      <w:bookmarkEnd w:id="5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说明：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together，streets together (result 6)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上下晚，TA/RH/TC，所有日，days together，each street(result 5)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上下晚，TA/RH/TC，所有日，each day，each street(result 1)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影响因素：与公园距离、植被覆盖比、不透水面覆盖比、街道宽度、高宽比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多元回归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分析球温、风速数据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学习Rayman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参考Influence of view factors on intra-urban air temperature and thermal comfort variability in a temperate city：利用Rayman，基于MRT等指标计算PET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Variations in outdoor thermal comfort in an urban park in the hot-summer and cold-winter region of China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固定点调为公园内多点平均【完成</w:t>
      </w:r>
      <w:bookmarkStart w:id="6" w:name="_GoBack"/>
      <w:bookmarkEnd w:id="6"/>
      <w:r>
        <w:rPr>
          <w:rFonts w:hint="eastAsia"/>
          <w:highlight w:val="none"/>
          <w:lang w:val="en-US" w:eastAsia="zh-CN"/>
        </w:rPr>
        <w:t>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热舒适指数优化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调整数据空间分辨率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筛选日期、道路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【0707】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Adjust data -气象指标 &amp; RCE相关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晚上-TP【0715】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晚上-RH/TC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上午/下午-RH/TC【0720】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气温与LST</w:t>
      </w:r>
      <w:r>
        <w:rPr>
          <w:rFonts w:hint="eastAsia"/>
          <w:highlight w:val="none"/>
          <w:lang w:val="en-US" w:eastAsia="zh-CN"/>
        </w:rPr>
        <w:t>【0725】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画图代码调整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移除路线3末段的数据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3AC014C"/>
    <w:multiLevelType w:val="multilevel"/>
    <w:tmpl w:val="33AC0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1A0035"/>
    <w:rsid w:val="00320FBA"/>
    <w:rsid w:val="015A2A1B"/>
    <w:rsid w:val="027B43B5"/>
    <w:rsid w:val="02F53017"/>
    <w:rsid w:val="03A425F8"/>
    <w:rsid w:val="03C645C2"/>
    <w:rsid w:val="03E70DB3"/>
    <w:rsid w:val="040B679C"/>
    <w:rsid w:val="042956D7"/>
    <w:rsid w:val="0501600D"/>
    <w:rsid w:val="05D11D1B"/>
    <w:rsid w:val="065C3D91"/>
    <w:rsid w:val="072C3A29"/>
    <w:rsid w:val="088B2A0B"/>
    <w:rsid w:val="08A74FB5"/>
    <w:rsid w:val="0BF914F8"/>
    <w:rsid w:val="0C01398D"/>
    <w:rsid w:val="0C122745"/>
    <w:rsid w:val="0C580AA0"/>
    <w:rsid w:val="0DB06AF1"/>
    <w:rsid w:val="0E6426BD"/>
    <w:rsid w:val="0E9E1BF3"/>
    <w:rsid w:val="0EE5798A"/>
    <w:rsid w:val="0F2F6775"/>
    <w:rsid w:val="10015E6C"/>
    <w:rsid w:val="110C62E6"/>
    <w:rsid w:val="13CB5FFB"/>
    <w:rsid w:val="13D75485"/>
    <w:rsid w:val="14C447F8"/>
    <w:rsid w:val="14CD5BE4"/>
    <w:rsid w:val="1617408E"/>
    <w:rsid w:val="16974AAE"/>
    <w:rsid w:val="170E2389"/>
    <w:rsid w:val="17365E81"/>
    <w:rsid w:val="1844012A"/>
    <w:rsid w:val="18FE29CF"/>
    <w:rsid w:val="1A300044"/>
    <w:rsid w:val="1A6626E5"/>
    <w:rsid w:val="1B502249"/>
    <w:rsid w:val="1B935BFA"/>
    <w:rsid w:val="1C427076"/>
    <w:rsid w:val="1CC311E2"/>
    <w:rsid w:val="1CEE180D"/>
    <w:rsid w:val="1DEC587A"/>
    <w:rsid w:val="1E5C3FD0"/>
    <w:rsid w:val="1F0E32FE"/>
    <w:rsid w:val="1F171211"/>
    <w:rsid w:val="1FFD54FC"/>
    <w:rsid w:val="22497BDD"/>
    <w:rsid w:val="23877818"/>
    <w:rsid w:val="23902052"/>
    <w:rsid w:val="247B4ED4"/>
    <w:rsid w:val="24AB2341"/>
    <w:rsid w:val="24E567F1"/>
    <w:rsid w:val="250E4DED"/>
    <w:rsid w:val="265E685B"/>
    <w:rsid w:val="268E1776"/>
    <w:rsid w:val="27507EAB"/>
    <w:rsid w:val="29211FE0"/>
    <w:rsid w:val="299379AA"/>
    <w:rsid w:val="2A3A3D9D"/>
    <w:rsid w:val="2AA26597"/>
    <w:rsid w:val="2CC52963"/>
    <w:rsid w:val="2D212AB5"/>
    <w:rsid w:val="2E283D2E"/>
    <w:rsid w:val="2E3E5979"/>
    <w:rsid w:val="2ECA4325"/>
    <w:rsid w:val="2F7366F2"/>
    <w:rsid w:val="2FA07EE4"/>
    <w:rsid w:val="30640F12"/>
    <w:rsid w:val="30CB71E3"/>
    <w:rsid w:val="312176B5"/>
    <w:rsid w:val="31727EEE"/>
    <w:rsid w:val="31E30F90"/>
    <w:rsid w:val="337A0512"/>
    <w:rsid w:val="35123632"/>
    <w:rsid w:val="3551083B"/>
    <w:rsid w:val="3565242A"/>
    <w:rsid w:val="35A00E30"/>
    <w:rsid w:val="365372D3"/>
    <w:rsid w:val="370A4627"/>
    <w:rsid w:val="38261E72"/>
    <w:rsid w:val="385D77F3"/>
    <w:rsid w:val="393A7A42"/>
    <w:rsid w:val="393B1711"/>
    <w:rsid w:val="39CF0802"/>
    <w:rsid w:val="3A5D2D2E"/>
    <w:rsid w:val="3B0E4932"/>
    <w:rsid w:val="3CF90C34"/>
    <w:rsid w:val="3D681DD5"/>
    <w:rsid w:val="3E497999"/>
    <w:rsid w:val="3E9041FD"/>
    <w:rsid w:val="3E99061F"/>
    <w:rsid w:val="42126F7C"/>
    <w:rsid w:val="434C41B3"/>
    <w:rsid w:val="44873877"/>
    <w:rsid w:val="44F54B03"/>
    <w:rsid w:val="455E5995"/>
    <w:rsid w:val="46843C64"/>
    <w:rsid w:val="468A4D8B"/>
    <w:rsid w:val="48F04D73"/>
    <w:rsid w:val="49773016"/>
    <w:rsid w:val="4B506CA3"/>
    <w:rsid w:val="4CBE77A4"/>
    <w:rsid w:val="4D2255FE"/>
    <w:rsid w:val="4D805C06"/>
    <w:rsid w:val="4DBF60D8"/>
    <w:rsid w:val="4FE53F47"/>
    <w:rsid w:val="503E1327"/>
    <w:rsid w:val="50500CB7"/>
    <w:rsid w:val="50AA1441"/>
    <w:rsid w:val="50B75092"/>
    <w:rsid w:val="51542485"/>
    <w:rsid w:val="5337169E"/>
    <w:rsid w:val="54D401F6"/>
    <w:rsid w:val="54EE40EB"/>
    <w:rsid w:val="55140FA9"/>
    <w:rsid w:val="55F61D5C"/>
    <w:rsid w:val="585D5F13"/>
    <w:rsid w:val="5A722EBF"/>
    <w:rsid w:val="5AC71A73"/>
    <w:rsid w:val="5B1769FD"/>
    <w:rsid w:val="5BA760CF"/>
    <w:rsid w:val="5C976E55"/>
    <w:rsid w:val="5CC81EEF"/>
    <w:rsid w:val="5D011AC0"/>
    <w:rsid w:val="5D207671"/>
    <w:rsid w:val="5DDC779B"/>
    <w:rsid w:val="5F9069E1"/>
    <w:rsid w:val="60066961"/>
    <w:rsid w:val="607F47A5"/>
    <w:rsid w:val="60BD0E98"/>
    <w:rsid w:val="60EF46F9"/>
    <w:rsid w:val="62B334AF"/>
    <w:rsid w:val="63864720"/>
    <w:rsid w:val="66634077"/>
    <w:rsid w:val="66B6356E"/>
    <w:rsid w:val="671F619E"/>
    <w:rsid w:val="6A731776"/>
    <w:rsid w:val="6AA213FE"/>
    <w:rsid w:val="6AB73D58"/>
    <w:rsid w:val="6B8457D2"/>
    <w:rsid w:val="6BE51A4C"/>
    <w:rsid w:val="6C516795"/>
    <w:rsid w:val="6D526AFD"/>
    <w:rsid w:val="6D68133A"/>
    <w:rsid w:val="6E0C0F5A"/>
    <w:rsid w:val="6F762811"/>
    <w:rsid w:val="70BF27C8"/>
    <w:rsid w:val="716E3271"/>
    <w:rsid w:val="717B7355"/>
    <w:rsid w:val="73BB4E02"/>
    <w:rsid w:val="73BB6316"/>
    <w:rsid w:val="73F93600"/>
    <w:rsid w:val="7459071E"/>
    <w:rsid w:val="753D4E5A"/>
    <w:rsid w:val="77B13B07"/>
    <w:rsid w:val="796C59D2"/>
    <w:rsid w:val="7B085DE2"/>
    <w:rsid w:val="7BD2798A"/>
    <w:rsid w:val="7C757A82"/>
    <w:rsid w:val="7CC97A70"/>
    <w:rsid w:val="7D8E7BDF"/>
    <w:rsid w:val="7D9341A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1903</Words>
  <Characters>5401</Characters>
  <Lines>0</Lines>
  <Paragraphs>0</Paragraphs>
  <TotalTime>254</TotalTime>
  <ScaleCrop>false</ScaleCrop>
  <LinksUpToDate>false</LinksUpToDate>
  <CharactersWithSpaces>6101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2024-07-09T05:46:52Z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D2C11467A3474B66B59FE2C4CA8D8095_11</vt:lpwstr>
  </property>
</Properties>
</file>