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发射模块代码使用说明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指路</w:t>
      </w:r>
      <w:hyperlink r:id="rId5">
        <w:r>
          <w:rPr>
            <w:rFonts w:eastAsia="等线" w:ascii="Arial" w:cs="Arial" w:hAnsi="Arial"/>
            <w:color w:val="3370ff"/>
            <w:sz w:val="22"/>
          </w:rPr>
          <w:t>GitHub - 20141228-EC/Shoot_Module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简介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发射机构拨盘模块代码，实现外部传入不同指令，控制拨盘多模式切换与摩擦轮运行与否，外部需要有另一个文件，执行发射机构的高级功能，如PID计算，摩擦轮堵转，温度，速度检测，弹速自适应等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此代码适配绝对/相对编码拨盘电机、多种数据类型，泛用性强。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以下文档将简单介绍此代码需要配置的内容，并对各个标志位的使用场景和运行情况进行说明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内部基础配置说明及示例</w:t>
      </w:r>
      <w:bookmarkEnd w:id="1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此代码通过宏定义配置和数据配置达成多电机适配的效果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在shoot_base_h文件中的宏定义可配置区按照注释提示配置宏定义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38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类型配置错误或者不恰当编译会报错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76964"/>
        </w:rPr>
        <w:t>注意</w:t>
      </w:r>
      <w:r>
        <w:rPr>
          <w:rFonts w:eastAsia="等线" w:ascii="Arial" w:cs="Arial" w:hAnsi="Arial"/>
          <w:sz w:val="22"/>
        </w:rPr>
        <w:t>，这里的报错指的是超出数据范围导致较大整数变为负数之类的问题，使用减速箱导致数据较大时需检查数据看是否会出现此情况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有无</w:t>
      </w:r>
      <w:r>
        <w:rPr>
          <w:rFonts w:eastAsia="等线" w:ascii="Arial" w:cs="Arial" w:hAnsi="Arial"/>
          <w:sz w:val="22"/>
          <w:shd w:fill="bbbfc4"/>
        </w:rPr>
        <w:t>机械限位</w:t>
      </w:r>
      <w:r>
        <w:rPr>
          <w:rFonts w:eastAsia="等线" w:ascii="Arial" w:cs="Arial" w:hAnsi="Arial"/>
          <w:sz w:val="22"/>
        </w:rPr>
        <w:t>主要影响非绝对编码拨盘复位旋转方向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重点保证绝对角度（</w:t>
      </w:r>
      <w:r>
        <w:rPr>
          <w:rFonts w:eastAsia="等线" w:ascii="Arial" w:cs="Arial" w:hAnsi="Arial"/>
          <w:sz w:val="22"/>
          <w:shd w:fill="bbbfc4"/>
        </w:rPr>
        <w:t>DIAL_IS_ABSOLUTE_ANGLE</w:t>
      </w:r>
      <w:r>
        <w:rPr>
          <w:rFonts w:eastAsia="等线" w:ascii="Arial" w:cs="Arial" w:hAnsi="Arial"/>
          <w:sz w:val="22"/>
        </w:rPr>
        <w:t>)和最大最小值输入正确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新增决定是否外部输入角度和的标志位，0为内部计算角度和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当代码与拨盘电机不处于同一块板时，考虑到电控调车可能会出现复位时外部角度和为0，而另一块板传的角度和数据不变，导致pid计算出现问题而做出的更改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00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在shoot_base_c文件中的Shoot_Init函数中配置可配置参数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57575" cy="35337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此处参数影响实际使用体验，主要配置</w:t>
      </w:r>
      <w:r>
        <w:rPr>
          <w:rFonts w:eastAsia="等线" w:ascii="Arial" w:cs="Arial" w:hAnsi="Arial"/>
          <w:b w:val="true"/>
          <w:sz w:val="22"/>
        </w:rPr>
        <w:t>角度环旋转角度，速度环速度，堵转判定方式</w:t>
      </w:r>
      <w:r>
        <w:rPr>
          <w:rFonts w:eastAsia="等线" w:ascii="Arial" w:cs="Arial" w:hAnsi="Arial"/>
          <w:sz w:val="22"/>
        </w:rPr>
        <w:t>（电流/时间/速度三重判定或角度差积分）</w:t>
      </w:r>
      <w:r>
        <w:rPr>
          <w:rFonts w:eastAsia="等线" w:ascii="Arial" w:cs="Arial" w:hAnsi="Arial"/>
          <w:b w:val="true"/>
          <w:sz w:val="22"/>
        </w:rPr>
        <w:t>，连发复位/堵转的超时时间，速度环停止后复位方式</w:t>
      </w:r>
      <w:r>
        <w:rPr>
          <w:rFonts w:eastAsia="等线" w:ascii="Arial" w:cs="Arial" w:hAnsi="Arial"/>
          <w:sz w:val="22"/>
        </w:rPr>
        <w:t>（向前/后/原地/就近），根据需求和实际情况调整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reset_offist_angle</w:t>
      </w:r>
      <w:r>
        <w:rPr>
          <w:rFonts w:eastAsia="等线" w:ascii="Arial" w:cs="Arial" w:hAnsi="Arial"/>
          <w:sz w:val="22"/>
        </w:rPr>
        <w:t>为绝对拨盘角度补偿，调整至目标值为合适弹位即可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reset_adjust_angle</w:t>
      </w:r>
      <w:r>
        <w:rPr>
          <w:rFonts w:eastAsia="等线" w:ascii="Arial" w:cs="Arial" w:hAnsi="Arial"/>
          <w:sz w:val="22"/>
        </w:rPr>
        <w:t>为非绝对拨盘找到限位后调整的小角度，理想情况下即不会导致双发也不会发射延迟过高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一般设定为速度环连发（repeat_shot_mode = DIAL_SPEED),速度环连发停止后向前复位（speed_stop_mode = FORWARD）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以上所有变量都可在shoot_base.h文件中找到注释说明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对外接口说明</w:t>
      </w:r>
      <w:bookmarkEnd w:id="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传入拨盘电机参数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主要位于结构体</w:t>
      </w:r>
      <w:r>
        <w:rPr>
          <w:rFonts w:eastAsia="等线" w:ascii="Arial" w:cs="Arial" w:hAnsi="Arial"/>
          <w:sz w:val="22"/>
          <w:shd w:fill="bbbfc4"/>
        </w:rPr>
        <w:t>Dial_Rt_Rx_Info_t</w:t>
      </w:r>
      <w:r>
        <w:rPr>
          <w:rFonts w:eastAsia="等线" w:ascii="Arial" w:cs="Arial" w:hAnsi="Arial"/>
          <w:sz w:val="22"/>
        </w:rPr>
        <w:t>（shoot-&gt;info.rt_rx_info.dial_info)，传入角度，电流和速度（角度用于计算非绝对值拨盘角度和，后两个主要用于一类堵转判定）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基础输出参数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位于结构体</w:t>
      </w:r>
      <w:r>
        <w:rPr>
          <w:rFonts w:eastAsia="等线" w:ascii="Arial" w:cs="Arial" w:hAnsi="Arial"/>
          <w:sz w:val="22"/>
          <w:shd w:fill="bbbfc4"/>
        </w:rPr>
        <w:t>Shoot_Tx_Cmd_t</w:t>
      </w:r>
      <w:r>
        <w:rPr>
          <w:rFonts w:eastAsia="等线" w:ascii="Arial" w:cs="Arial" w:hAnsi="Arial"/>
          <w:sz w:val="22"/>
        </w:rPr>
        <w:t>（shoot-&gt;cmd),包含视觉/拨盘/摩擦轮输出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**拨盘输出控制分速度环，角度环和睡眠模式，</w:t>
      </w:r>
      <w:r>
        <w:rPr>
          <w:rFonts w:eastAsia="等线" w:ascii="Arial" w:cs="Arial" w:hAnsi="Arial"/>
          <w:b w:val="true"/>
          <w:sz w:val="22"/>
        </w:rPr>
        <w:t>睡眠模式由current_target强制输出为0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**is_ready标志位內部自动运行控制，作为信息输出标志位，在</w:t>
      </w:r>
      <w:r>
        <w:rPr>
          <w:rFonts w:eastAsia="等线" w:ascii="Arial" w:cs="Arial" w:hAnsi="Arial"/>
          <w:b w:val="true"/>
          <w:sz w:val="22"/>
        </w:rPr>
        <w:t>复位，上锁，补弹过程，连发</w:t>
      </w:r>
      <w:r>
        <w:rPr>
          <w:rFonts w:eastAsia="等线" w:ascii="Arial" w:cs="Arial" w:hAnsi="Arial"/>
          <w:sz w:val="22"/>
        </w:rPr>
        <w:t>都为0，正常准备发射状态则为1，作为视觉信息输出标志位，用于判断发弹时机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标志位控制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位于结构体</w:t>
      </w:r>
      <w:r>
        <w:rPr>
          <w:rFonts w:eastAsia="等线" w:ascii="Arial" w:cs="Arial" w:hAnsi="Arial"/>
          <w:sz w:val="22"/>
          <w:shd w:fill="bbbfc4"/>
        </w:rPr>
        <w:t>Flag_Rt_Rx_Info_t</w:t>
      </w:r>
      <w:r>
        <w:rPr>
          <w:rFonts w:eastAsia="等线" w:ascii="Arial" w:cs="Arial" w:hAnsi="Arial"/>
          <w:sz w:val="22"/>
        </w:rPr>
        <w:t>（shoot-&gt;info-&gt;rt_rx_info.flag_info)，基本都有注释说明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elec_level_flag</w:t>
      </w:r>
      <w:r>
        <w:rPr>
          <w:rFonts w:eastAsia="等线" w:ascii="Arial" w:cs="Arial" w:hAnsi="Arial"/>
          <w:sz w:val="22"/>
        </w:rPr>
        <w:t>，电平标志位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发弹与否主要由is_ready(拨盘不处于异常或运行状态）与电平标志位共同决定，外部可由键盘/遥控器状态（示例：按下为高电平，松开为低电平）或者视觉自瞄的enable_shoot控制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单发模式当状态由低电平转为高电平时触发单发操作，连发模式一直保持高电平状态触发连发操作，而非单纯由单发/连发模式开关决定发弹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init_flag</w:t>
      </w:r>
      <w:r>
        <w:rPr>
          <w:rFonts w:eastAsia="等线" w:ascii="Arial" w:cs="Arial" w:hAnsi="Arial"/>
          <w:sz w:val="22"/>
        </w:rPr>
        <w:t>，初始化/复位标志位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此状态机的运行主逻辑如下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拨盘开锁后需</w:t>
      </w:r>
      <w:r>
        <w:rPr>
          <w:rFonts w:eastAsia="等线" w:ascii="Arial" w:cs="Arial" w:hAnsi="Arial"/>
          <w:b w:val="true"/>
          <w:sz w:val="22"/>
        </w:rPr>
        <w:t>外部手动将init置0复位</w:t>
      </w:r>
      <w:r>
        <w:rPr>
          <w:rFonts w:eastAsia="等线" w:ascii="Arial" w:cs="Arial" w:hAnsi="Arial"/>
          <w:sz w:val="22"/>
        </w:rPr>
        <w:t>，后面可在非发弹情况下随时多次复位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is_mtr_offline_flag</w:t>
      </w:r>
      <w:r>
        <w:rPr>
          <w:rFonts w:eastAsia="等线" w:ascii="Arial" w:cs="Arial" w:hAnsi="Arial"/>
          <w:sz w:val="22"/>
        </w:rPr>
        <w:t>，掉线检测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可将其与电机状态关联，触发时将拨盘电机</w:t>
      </w:r>
      <w:r>
        <w:rPr>
          <w:rFonts w:eastAsia="等线" w:ascii="Arial" w:cs="Arial" w:hAnsi="Arial"/>
          <w:b w:val="true"/>
          <w:sz w:val="22"/>
        </w:rPr>
        <w:t>输出目标电流值0</w:t>
      </w:r>
      <w:r>
        <w:rPr>
          <w:rFonts w:eastAsia="等线" w:ascii="Arial" w:cs="Arial" w:hAnsi="Arial"/>
          <w:sz w:val="22"/>
        </w:rPr>
        <w:t>卸力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is_sleep_flag</w:t>
      </w:r>
      <w:r>
        <w:rPr>
          <w:rFonts w:eastAsia="等线" w:ascii="Arial" w:cs="Arial" w:hAnsi="Arial"/>
          <w:sz w:val="22"/>
        </w:rPr>
        <w:t>，睡眠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控制发射机构开关锁，仅初始状态为1（上锁），后内部对其无更改，外部根据需求视情况使用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fire_mode_flag</w:t>
      </w:r>
      <w:r>
        <w:rPr>
          <w:rFonts w:eastAsia="等线" w:ascii="Arial" w:cs="Arial" w:hAnsi="Arial"/>
          <w:sz w:val="22"/>
        </w:rPr>
        <w:t>，单/连发控制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run_limit_flag</w:t>
      </w:r>
      <w:r>
        <w:rPr>
          <w:rFonts w:eastAsia="等线" w:ascii="Arial" w:cs="Arial" w:hAnsi="Arial"/>
          <w:sz w:val="22"/>
        </w:rPr>
        <w:t xml:space="preserve"> ，拨盘运行限制标志位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在开锁后外部条件不满足拨盘运行时置1，如摩擦轮堵转，热量限制等情形下临时锁住拨盘，同时会时is_ready标志位置0，会停在当前位置但</w:t>
      </w:r>
      <w:r>
        <w:rPr>
          <w:rFonts w:eastAsia="等线" w:ascii="Arial" w:cs="Arial" w:hAnsi="Arial"/>
          <w:b w:val="true"/>
          <w:sz w:val="22"/>
        </w:rPr>
        <w:t>不卸力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函数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配置完成后外部调用以下函数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初始化函数：Shoot_Init(Shoot_t* shoot）；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工作函数：Shoot_Base_Work(Shoot_t* shoot);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常规运行状态说明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在完成各项配置并正确调用标志位后，正常工作状态如下：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sleep从默认上锁状态（置1）解锁（置0）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拨盘可根据当前模式（fire_mode_flag）通过触发上升沿（elec_level_flag）或者高电平进入单发补弹/连发补弹模式，拨盘转动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相对拨盘复位时堵转（即触碰到限位时）回移至设定好的小角度，此角度不应超过一个弹位的角度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正常情况遇到堵转时，拨盘会从【当前堵转位置】转至【当前位置 - 一个弹位】再转到【目标弹位】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示例：从【2】转至【3】时，在【2.5】堵转，会先退回【1.5】，再回到【2】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更新记录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2026/2/3</w:t>
      </w:r>
      <w:bookmarkEnd w:id="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更新标志位</w:t>
      </w:r>
      <w:r>
        <w:rPr>
          <w:rFonts w:eastAsia="等线" w:ascii="Arial" w:cs="Arial" w:hAnsi="Arial"/>
          <w:sz w:val="22"/>
          <w:shd w:fill="bbbfc4"/>
        </w:rPr>
        <w:t xml:space="preserve"> DIAL_ANGLE_SUM_FROM_OUTTER</w:t>
      </w:r>
      <w:r>
        <w:rPr>
          <w:rFonts w:eastAsia="等线" w:ascii="Arial" w:cs="Arial" w:hAnsi="Arial"/>
          <w:sz w:val="22"/>
        </w:rPr>
        <w:t>，提供可使用外部角度和计算选项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将单发变化角度值类型与角度和统一，防止数据超限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7554">
    <w:lvl>
      <w:numFmt w:val="bullet"/>
      <w:suff w:val="tab"/>
      <w:lvlText w:val="•"/>
      <w:rPr>
        <w:color w:val="3370ff"/>
      </w:rPr>
    </w:lvl>
  </w:abstractNum>
  <w:abstractNum w:abstractNumId="317555">
    <w:lvl>
      <w:numFmt w:val="bullet"/>
      <w:suff w:val="tab"/>
      <w:lvlText w:val="•"/>
      <w:rPr>
        <w:color w:val="3370ff"/>
      </w:rPr>
    </w:lvl>
  </w:abstractNum>
  <w:abstractNum w:abstractNumId="317556">
    <w:lvl>
      <w:start w:val="1"/>
      <w:numFmt w:val="decimal"/>
      <w:suff w:val="tab"/>
      <w:lvlText w:val="%1."/>
      <w:rPr>
        <w:color w:val="3370ff"/>
      </w:rPr>
    </w:lvl>
  </w:abstractNum>
  <w:abstractNum w:abstractNumId="317557">
    <w:lvl>
      <w:numFmt w:val="bullet"/>
      <w:suff w:val="tab"/>
      <w:lvlText w:val="•"/>
      <w:rPr>
        <w:color w:val="3370ff"/>
      </w:rPr>
    </w:lvl>
  </w:abstractNum>
  <w:abstractNum w:abstractNumId="317558">
    <w:lvl>
      <w:numFmt w:val="bullet"/>
      <w:suff w:val="tab"/>
      <w:lvlText w:val="￮"/>
      <w:rPr>
        <w:color w:val="3370ff"/>
      </w:rPr>
    </w:lvl>
  </w:abstractNum>
  <w:abstractNum w:abstractNumId="317559">
    <w:lvl>
      <w:numFmt w:val="bullet"/>
      <w:suff w:val="tab"/>
      <w:lvlText w:val="•"/>
      <w:rPr>
        <w:color w:val="3370ff"/>
      </w:rPr>
    </w:lvl>
  </w:abstractNum>
  <w:abstractNum w:abstractNumId="317560">
    <w:lvl>
      <w:numFmt w:val="bullet"/>
      <w:suff w:val="tab"/>
      <w:lvlText w:val="•"/>
      <w:rPr>
        <w:color w:val="3370ff"/>
      </w:rPr>
    </w:lvl>
  </w:abstractNum>
  <w:abstractNum w:abstractNumId="317561">
    <w:lvl>
      <w:numFmt w:val="bullet"/>
      <w:suff w:val="tab"/>
      <w:lvlText w:val="•"/>
      <w:rPr>
        <w:color w:val="3370ff"/>
      </w:rPr>
    </w:lvl>
  </w:abstractNum>
  <w:abstractNum w:abstractNumId="317562">
    <w:lvl>
      <w:start w:val="2"/>
      <w:numFmt w:val="decimal"/>
      <w:suff w:val="tab"/>
      <w:lvlText w:val="%1."/>
      <w:rPr>
        <w:color w:val="3370ff"/>
      </w:rPr>
    </w:lvl>
  </w:abstractNum>
  <w:abstractNum w:abstractNumId="317563">
    <w:lvl>
      <w:numFmt w:val="bullet"/>
      <w:suff w:val="tab"/>
      <w:lvlText w:val="•"/>
      <w:rPr>
        <w:color w:val="3370ff"/>
      </w:rPr>
    </w:lvl>
  </w:abstractNum>
  <w:abstractNum w:abstractNumId="317564">
    <w:lvl>
      <w:numFmt w:val="bullet"/>
      <w:suff w:val="tab"/>
      <w:lvlText w:val="•"/>
      <w:rPr>
        <w:color w:val="3370ff"/>
      </w:rPr>
    </w:lvl>
  </w:abstractNum>
  <w:abstractNum w:abstractNumId="317565">
    <w:lvl>
      <w:numFmt w:val="bullet"/>
      <w:suff w:val="tab"/>
      <w:lvlText w:val="•"/>
      <w:rPr>
        <w:color w:val="3370ff"/>
      </w:rPr>
    </w:lvl>
  </w:abstractNum>
  <w:abstractNum w:abstractNumId="317566">
    <w:lvl>
      <w:numFmt w:val="bullet"/>
      <w:suff w:val="tab"/>
      <w:lvlText w:val="•"/>
      <w:rPr>
        <w:color w:val="3370ff"/>
      </w:rPr>
    </w:lvl>
  </w:abstractNum>
  <w:abstractNum w:abstractNumId="317567">
    <w:lvl>
      <w:numFmt w:val="bullet"/>
      <w:suff w:val="tab"/>
      <w:lvlText w:val="•"/>
      <w:rPr>
        <w:color w:val="3370ff"/>
      </w:rPr>
    </w:lvl>
  </w:abstractNum>
  <w:abstractNum w:abstractNumId="317568">
    <w:lvl>
      <w:numFmt w:val="bullet"/>
      <w:suff w:val="tab"/>
      <w:lvlText w:val="•"/>
      <w:rPr>
        <w:color w:val="3370ff"/>
      </w:rPr>
    </w:lvl>
  </w:abstractNum>
  <w:abstractNum w:abstractNumId="317569">
    <w:lvl>
      <w:start w:val="1"/>
      <w:numFmt w:val="decimal"/>
      <w:suff w:val="tab"/>
      <w:lvlText w:val="%1."/>
      <w:rPr>
        <w:color w:val="3370ff"/>
      </w:rPr>
    </w:lvl>
  </w:abstractNum>
  <w:abstractNum w:abstractNumId="317570">
    <w:lvl>
      <w:start w:val="2"/>
      <w:numFmt w:val="decimal"/>
      <w:suff w:val="tab"/>
      <w:lvlText w:val="%1."/>
      <w:rPr>
        <w:color w:val="3370ff"/>
      </w:rPr>
    </w:lvl>
  </w:abstractNum>
  <w:abstractNum w:abstractNumId="317571">
    <w:lvl>
      <w:start w:val="3"/>
      <w:numFmt w:val="decimal"/>
      <w:suff w:val="tab"/>
      <w:lvlText w:val="%1."/>
      <w:rPr>
        <w:color w:val="3370ff"/>
      </w:rPr>
    </w:lvl>
  </w:abstractNum>
  <w:abstractNum w:abstractNumId="317572">
    <w:lvl>
      <w:start w:val="4"/>
      <w:numFmt w:val="decimal"/>
      <w:suff w:val="tab"/>
      <w:lvlText w:val="%1."/>
      <w:rPr>
        <w:color w:val="3370ff"/>
      </w:rPr>
    </w:lvl>
  </w:abstractNum>
  <w:abstractNum w:abstractNumId="317573">
    <w:lvl>
      <w:start w:val="5"/>
      <w:numFmt w:val="decimal"/>
      <w:suff w:val="tab"/>
      <w:lvlText w:val="%1."/>
      <w:rPr>
        <w:color w:val="3370ff"/>
      </w:rPr>
    </w:lvl>
  </w:abstractNum>
  <w:abstractNum w:abstractNumId="317574">
    <w:lvl>
      <w:start w:val="6"/>
      <w:numFmt w:val="decimal"/>
      <w:suff w:val="tab"/>
      <w:lvlText w:val="%1."/>
      <w:rPr>
        <w:color w:val="3370ff"/>
      </w:rPr>
    </w:lvl>
  </w:abstractNum>
  <w:abstractNum w:abstractNumId="317575">
    <w:lvl>
      <w:numFmt w:val="bullet"/>
      <w:suff w:val="tab"/>
      <w:lvlText w:val="•"/>
      <w:rPr>
        <w:color w:val="3370ff"/>
      </w:rPr>
    </w:lvl>
  </w:abstractNum>
  <w:abstractNum w:abstractNumId="317576">
    <w:lvl>
      <w:numFmt w:val="bullet"/>
      <w:suff w:val="tab"/>
      <w:lvlText w:val="•"/>
      <w:rPr>
        <w:color w:val="3370ff"/>
      </w:rPr>
    </w:lvl>
  </w:abstractNum>
  <w:abstractNum w:abstractNumId="317577">
    <w:lvl>
      <w:numFmt w:val="bullet"/>
      <w:suff w:val="tab"/>
      <w:lvlText w:val="•"/>
      <w:rPr>
        <w:color w:val="3370ff"/>
      </w:rPr>
    </w:lvl>
  </w:abstractNum>
  <w:abstractNum w:abstractNumId="317578">
    <w:lvl>
      <w:numFmt w:val="bullet"/>
      <w:suff w:val="tab"/>
      <w:lvlText w:val="•"/>
      <w:rPr>
        <w:color w:val="3370ff"/>
      </w:rPr>
    </w:lvl>
  </w:abstractNum>
  <w:abstractNum w:abstractNumId="317579">
    <w:lvl>
      <w:numFmt w:val="bullet"/>
      <w:suff w:val="tab"/>
      <w:lvlText w:val="•"/>
      <w:rPr>
        <w:color w:val="3370ff"/>
      </w:rPr>
    </w:lvl>
  </w:abstractNum>
  <w:abstractNum w:abstractNumId="317580">
    <w:lvl>
      <w:numFmt w:val="bullet"/>
      <w:suff w:val="tab"/>
      <w:lvlText w:val="•"/>
      <w:rPr>
        <w:color w:val="3370ff"/>
      </w:rPr>
    </w:lvl>
  </w:abstractNum>
  <w:num w:numId="1">
    <w:abstractNumId w:val="317554"/>
  </w:num>
  <w:num w:numId="2">
    <w:abstractNumId w:val="317555"/>
  </w:num>
  <w:num w:numId="3">
    <w:abstractNumId w:val="317556"/>
  </w:num>
  <w:num w:numId="4">
    <w:abstractNumId w:val="317557"/>
  </w:num>
  <w:num w:numId="5">
    <w:abstractNumId w:val="317558"/>
  </w:num>
  <w:num w:numId="6">
    <w:abstractNumId w:val="317559"/>
  </w:num>
  <w:num w:numId="7">
    <w:abstractNumId w:val="317560"/>
  </w:num>
  <w:num w:numId="8">
    <w:abstractNumId w:val="317561"/>
  </w:num>
  <w:num w:numId="9">
    <w:abstractNumId w:val="317562"/>
  </w:num>
  <w:num w:numId="10">
    <w:abstractNumId w:val="317563"/>
  </w:num>
  <w:num w:numId="11">
    <w:abstractNumId w:val="317564"/>
  </w:num>
  <w:num w:numId="12">
    <w:abstractNumId w:val="317565"/>
  </w:num>
  <w:num w:numId="13">
    <w:abstractNumId w:val="317566"/>
  </w:num>
  <w:num w:numId="14">
    <w:abstractNumId w:val="317567"/>
  </w:num>
  <w:num w:numId="15">
    <w:abstractNumId w:val="317568"/>
  </w:num>
  <w:num w:numId="16">
    <w:abstractNumId w:val="317569"/>
  </w:num>
  <w:num w:numId="17">
    <w:abstractNumId w:val="317570"/>
  </w:num>
  <w:num w:numId="18">
    <w:abstractNumId w:val="317571"/>
  </w:num>
  <w:num w:numId="19">
    <w:abstractNumId w:val="317572"/>
  </w:num>
  <w:num w:numId="20">
    <w:abstractNumId w:val="317573"/>
  </w:num>
  <w:num w:numId="21">
    <w:abstractNumId w:val="317574"/>
  </w:num>
  <w:num w:numId="22">
    <w:abstractNumId w:val="317575"/>
  </w:num>
  <w:num w:numId="23">
    <w:abstractNumId w:val="317576"/>
  </w:num>
  <w:num w:numId="24">
    <w:abstractNumId w:val="317577"/>
  </w:num>
  <w:num w:numId="25">
    <w:abstractNumId w:val="317578"/>
  </w:num>
  <w:num w:numId="26">
    <w:abstractNumId w:val="317579"/>
  </w:num>
  <w:num w:numId="27">
    <w:abstractNumId w:val="3175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ithub.com/20141228-EC/Shoot_Module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2026-02-03T11:22:10Z</dcterms:created>
  <dc:creator>Apache POI</dc:creator>
</cp:coreProperties>
</file>