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207C7" w14:textId="46FD9C54" w:rsidR="00207AF5" w:rsidRPr="003B0C72" w:rsidRDefault="00997604" w:rsidP="00997604">
      <w:pPr>
        <w:jc w:val="center"/>
        <w:rPr>
          <w:rFonts w:ascii="Times New Roman" w:hAnsi="Times New Roman" w:cs="Times New Roman"/>
          <w:sz w:val="22"/>
          <w:szCs w:val="22"/>
        </w:rPr>
      </w:pPr>
      <w:r w:rsidRPr="003B0C72">
        <w:rPr>
          <w:rFonts w:ascii="Times New Roman" w:hAnsi="Times New Roman" w:cs="Times New Roman"/>
          <w:sz w:val="22"/>
          <w:szCs w:val="22"/>
        </w:rPr>
        <w:t>Entrapment Issue</w:t>
      </w:r>
    </w:p>
    <w:p w14:paraId="0A6314DE" w14:textId="105CAD34" w:rsidR="00997604" w:rsidRPr="003B0C72" w:rsidRDefault="00997604" w:rsidP="00997604">
      <w:pPr>
        <w:pStyle w:val="ListParagraph"/>
        <w:numPr>
          <w:ilvl w:val="0"/>
          <w:numId w:val="1"/>
        </w:numPr>
        <w:rPr>
          <w:rFonts w:ascii="Times New Roman" w:hAnsi="Times New Roman" w:cs="Times New Roman"/>
          <w:sz w:val="22"/>
          <w:szCs w:val="22"/>
        </w:rPr>
      </w:pPr>
      <w:r w:rsidRPr="003B0C72">
        <w:rPr>
          <w:rFonts w:ascii="Times New Roman" w:hAnsi="Times New Roman" w:cs="Times New Roman"/>
          <w:sz w:val="22"/>
          <w:szCs w:val="22"/>
        </w:rPr>
        <w:t xml:space="preserve">Did the govt induce the defendant? </w:t>
      </w:r>
    </w:p>
    <w:p w14:paraId="4E6D4E13" w14:textId="31D22125" w:rsidR="00997604" w:rsidRPr="003B0C72" w:rsidRDefault="00997604" w:rsidP="00997604">
      <w:pPr>
        <w:pStyle w:val="ListParagraph"/>
        <w:numPr>
          <w:ilvl w:val="0"/>
          <w:numId w:val="1"/>
        </w:numPr>
        <w:rPr>
          <w:rFonts w:ascii="Times New Roman" w:hAnsi="Times New Roman" w:cs="Times New Roman"/>
          <w:sz w:val="22"/>
          <w:szCs w:val="22"/>
        </w:rPr>
      </w:pPr>
      <w:r w:rsidRPr="003B0C72">
        <w:rPr>
          <w:rFonts w:ascii="Times New Roman" w:hAnsi="Times New Roman" w:cs="Times New Roman"/>
          <w:sz w:val="22"/>
          <w:szCs w:val="22"/>
        </w:rPr>
        <w:t xml:space="preserve">Was the defendant predisposed to commit the crime? </w:t>
      </w:r>
    </w:p>
    <w:p w14:paraId="654E546B" w14:textId="29CFD20E" w:rsidR="00A21927" w:rsidRPr="003B0C72" w:rsidRDefault="00A21927" w:rsidP="00997604">
      <w:pPr>
        <w:pStyle w:val="ListParagraph"/>
        <w:numPr>
          <w:ilvl w:val="0"/>
          <w:numId w:val="1"/>
        </w:numPr>
        <w:rPr>
          <w:rFonts w:ascii="Times New Roman" w:hAnsi="Times New Roman" w:cs="Times New Roman"/>
          <w:b/>
          <w:bCs/>
          <w:sz w:val="22"/>
          <w:szCs w:val="22"/>
        </w:rPr>
      </w:pPr>
      <w:r w:rsidRPr="003B0C72">
        <w:rPr>
          <w:rFonts w:ascii="Times New Roman" w:hAnsi="Times New Roman" w:cs="Times New Roman"/>
          <w:b/>
          <w:bCs/>
          <w:sz w:val="22"/>
          <w:szCs w:val="22"/>
        </w:rPr>
        <w:t>United States v. Jones, 231 F.3d 508, 516 (9th Cir. 2000)</w:t>
      </w:r>
    </w:p>
    <w:p w14:paraId="24BA22B4" w14:textId="77777777" w:rsidR="006153B9" w:rsidRPr="003B0C72" w:rsidRDefault="006153B9" w:rsidP="000A6117">
      <w:pPr>
        <w:pStyle w:val="ListParagraph"/>
        <w:ind w:left="1440"/>
        <w:rPr>
          <w:rFonts w:ascii="Times New Roman" w:hAnsi="Times New Roman" w:cs="Times New Roman"/>
          <w:b/>
          <w:bCs/>
          <w:sz w:val="22"/>
          <w:szCs w:val="22"/>
        </w:rPr>
      </w:pPr>
    </w:p>
    <w:p w14:paraId="0DDF952B" w14:textId="28194E20" w:rsidR="00997604" w:rsidRPr="003B0C72" w:rsidRDefault="00997604" w:rsidP="00997604">
      <w:pPr>
        <w:spacing w:after="0"/>
        <w:rPr>
          <w:rFonts w:ascii="Times New Roman" w:hAnsi="Times New Roman" w:cs="Times New Roman"/>
          <w:sz w:val="22"/>
          <w:szCs w:val="22"/>
        </w:rPr>
      </w:pPr>
      <w:r w:rsidRPr="003B0C72">
        <w:rPr>
          <w:rFonts w:ascii="Times New Roman" w:hAnsi="Times New Roman" w:cs="Times New Roman"/>
          <w:sz w:val="22"/>
          <w:szCs w:val="22"/>
        </w:rPr>
        <w:t xml:space="preserve">Reminders: </w:t>
      </w:r>
    </w:p>
    <w:p w14:paraId="6DD6EEB9" w14:textId="75D5947E" w:rsidR="00997604" w:rsidRPr="003B0C72" w:rsidRDefault="00997604" w:rsidP="00997604">
      <w:pPr>
        <w:pStyle w:val="ListParagraph"/>
        <w:numPr>
          <w:ilvl w:val="0"/>
          <w:numId w:val="2"/>
        </w:numPr>
        <w:spacing w:after="0"/>
        <w:rPr>
          <w:rFonts w:ascii="Times New Roman" w:hAnsi="Times New Roman" w:cs="Times New Roman"/>
          <w:sz w:val="22"/>
          <w:szCs w:val="22"/>
        </w:rPr>
      </w:pPr>
      <w:r w:rsidRPr="003B0C72">
        <w:rPr>
          <w:rFonts w:ascii="Times New Roman" w:hAnsi="Times New Roman" w:cs="Times New Roman"/>
          <w:sz w:val="22"/>
          <w:szCs w:val="22"/>
        </w:rPr>
        <w:t>“Real meat is in 9th Cir Cases—it has it’s own test</w:t>
      </w:r>
    </w:p>
    <w:p w14:paraId="1DAE8E87" w14:textId="571910FE" w:rsidR="00997604" w:rsidRPr="003B0C72" w:rsidRDefault="00997604" w:rsidP="00997604">
      <w:pPr>
        <w:pStyle w:val="ListParagraph"/>
        <w:numPr>
          <w:ilvl w:val="0"/>
          <w:numId w:val="2"/>
        </w:numPr>
        <w:spacing w:after="0"/>
        <w:rPr>
          <w:rFonts w:ascii="Times New Roman" w:hAnsi="Times New Roman" w:cs="Times New Roman"/>
          <w:sz w:val="22"/>
          <w:szCs w:val="22"/>
        </w:rPr>
      </w:pPr>
      <w:r w:rsidRPr="003B0C72">
        <w:rPr>
          <w:rFonts w:ascii="Times New Roman" w:hAnsi="Times New Roman" w:cs="Times New Roman"/>
          <w:sz w:val="22"/>
          <w:szCs w:val="22"/>
        </w:rPr>
        <w:t xml:space="preserve">Do </w:t>
      </w:r>
      <w:r w:rsidRPr="003B0C72">
        <w:rPr>
          <w:rFonts w:ascii="Times New Roman" w:hAnsi="Times New Roman" w:cs="Times New Roman"/>
          <w:b/>
          <w:bCs/>
          <w:sz w:val="22"/>
          <w:szCs w:val="22"/>
        </w:rPr>
        <w:t>not</w:t>
      </w:r>
      <w:r w:rsidRPr="003B0C72">
        <w:rPr>
          <w:rFonts w:ascii="Times New Roman" w:hAnsi="Times New Roman" w:cs="Times New Roman"/>
          <w:sz w:val="22"/>
          <w:szCs w:val="22"/>
        </w:rPr>
        <w:t xml:space="preserve"> address (1) entrapment by estoppel; (2) derivative entrapment; (3) sentencing entrapment; (4) outrageous government conduct</w:t>
      </w:r>
    </w:p>
    <w:p w14:paraId="77ADD6BB" w14:textId="366DCFAC" w:rsidR="00997604" w:rsidRPr="003B0C72" w:rsidRDefault="00997604" w:rsidP="00997604">
      <w:pPr>
        <w:pStyle w:val="ListParagraph"/>
        <w:numPr>
          <w:ilvl w:val="0"/>
          <w:numId w:val="2"/>
        </w:numPr>
        <w:spacing w:after="0"/>
        <w:rPr>
          <w:rFonts w:ascii="Times New Roman" w:hAnsi="Times New Roman" w:cs="Times New Roman"/>
          <w:sz w:val="22"/>
          <w:szCs w:val="22"/>
        </w:rPr>
      </w:pPr>
      <w:r w:rsidRPr="003B0C72">
        <w:rPr>
          <w:rFonts w:ascii="Times New Roman" w:hAnsi="Times New Roman" w:cs="Times New Roman"/>
          <w:sz w:val="22"/>
          <w:szCs w:val="22"/>
        </w:rPr>
        <w:t>Nothing to challenge in the judge’s jury instructions</w:t>
      </w:r>
    </w:p>
    <w:p w14:paraId="2DC4BAAC" w14:textId="1D3BB95E" w:rsidR="00997604" w:rsidRPr="003B0C72" w:rsidRDefault="00997604" w:rsidP="00997604">
      <w:pPr>
        <w:pStyle w:val="ListParagraph"/>
        <w:numPr>
          <w:ilvl w:val="0"/>
          <w:numId w:val="2"/>
        </w:numPr>
        <w:spacing w:after="0"/>
        <w:rPr>
          <w:rFonts w:ascii="Times New Roman" w:hAnsi="Times New Roman" w:cs="Times New Roman"/>
          <w:sz w:val="22"/>
          <w:szCs w:val="22"/>
        </w:rPr>
      </w:pPr>
      <w:r w:rsidRPr="003B0C72">
        <w:rPr>
          <w:rFonts w:ascii="Times New Roman" w:hAnsi="Times New Roman" w:cs="Times New Roman"/>
          <w:sz w:val="22"/>
          <w:szCs w:val="22"/>
        </w:rPr>
        <w:t>Uphill battle b/c standing for evaluating Rule 29 motions are v favorable to govt (See. E.g., United States v. Ruiz-Lopez, 749</w:t>
      </w:r>
      <w:r w:rsidR="00A21927" w:rsidRPr="003B0C72">
        <w:rPr>
          <w:rFonts w:ascii="Times New Roman" w:hAnsi="Times New Roman" w:cs="Times New Roman"/>
          <w:sz w:val="22"/>
          <w:szCs w:val="22"/>
        </w:rPr>
        <w:t xml:space="preserve"> F.3d 1138, 1141-43 (9th. Cir. 2014) </w:t>
      </w:r>
    </w:p>
    <w:p w14:paraId="66C38111" w14:textId="622240DE" w:rsidR="00997604" w:rsidRPr="003B0C72" w:rsidRDefault="00997604" w:rsidP="00997604">
      <w:pPr>
        <w:jc w:val="center"/>
        <w:rPr>
          <w:rFonts w:ascii="Times New Roman" w:hAnsi="Times New Roman" w:cs="Times New Roman"/>
          <w:sz w:val="22"/>
          <w:szCs w:val="22"/>
        </w:rPr>
      </w:pPr>
    </w:p>
    <w:p w14:paraId="6CC00D51" w14:textId="77777777" w:rsidR="000A6117" w:rsidRPr="003B0C72" w:rsidRDefault="000A6117" w:rsidP="000A6117">
      <w:pPr>
        <w:pStyle w:val="Heading1"/>
        <w:jc w:val="center"/>
        <w:rPr>
          <w:rFonts w:ascii="Times New Roman" w:hAnsi="Times New Roman" w:cs="Times New Roman"/>
          <w:sz w:val="22"/>
          <w:szCs w:val="22"/>
        </w:rPr>
      </w:pPr>
      <w:r w:rsidRPr="003B0C72">
        <w:rPr>
          <w:rFonts w:ascii="Times New Roman" w:hAnsi="Times New Roman" w:cs="Times New Roman"/>
          <w:sz w:val="22"/>
          <w:szCs w:val="22"/>
        </w:rPr>
        <w:t>Cases</w:t>
      </w:r>
    </w:p>
    <w:p w14:paraId="571F745E" w14:textId="77777777" w:rsidR="000A6117" w:rsidRPr="003B0C72" w:rsidRDefault="000A6117" w:rsidP="00997604">
      <w:pPr>
        <w:jc w:val="center"/>
        <w:rPr>
          <w:rFonts w:ascii="Times New Roman" w:hAnsi="Times New Roman" w:cs="Times New Roman"/>
          <w:sz w:val="22"/>
          <w:szCs w:val="22"/>
        </w:rPr>
      </w:pPr>
    </w:p>
    <w:p w14:paraId="1CFD80D5" w14:textId="6D6F50F3" w:rsidR="00A207F9" w:rsidRPr="003B0C72" w:rsidRDefault="00A207F9" w:rsidP="00907B8A">
      <w:pPr>
        <w:pStyle w:val="Heading1"/>
        <w:rPr>
          <w:rFonts w:ascii="Times New Roman" w:hAnsi="Times New Roman" w:cs="Times New Roman"/>
          <w:sz w:val="22"/>
          <w:szCs w:val="22"/>
        </w:rPr>
      </w:pPr>
      <w:r w:rsidRPr="003B0C72">
        <w:rPr>
          <w:rFonts w:ascii="Times New Roman" w:hAnsi="Times New Roman" w:cs="Times New Roman"/>
          <w:sz w:val="22"/>
          <w:szCs w:val="22"/>
        </w:rPr>
        <w:t xml:space="preserve">9th Circuit </w:t>
      </w:r>
    </w:p>
    <w:p w14:paraId="45856883" w14:textId="281B5891" w:rsidR="00997604" w:rsidRPr="003B0C72" w:rsidRDefault="00997604" w:rsidP="00907B8A">
      <w:pPr>
        <w:pStyle w:val="Heading2"/>
        <w:numPr>
          <w:ilvl w:val="0"/>
          <w:numId w:val="3"/>
        </w:numPr>
        <w:rPr>
          <w:rFonts w:ascii="Times New Roman" w:hAnsi="Times New Roman" w:cs="Times New Roman"/>
          <w:sz w:val="22"/>
          <w:szCs w:val="22"/>
        </w:rPr>
      </w:pPr>
      <w:r w:rsidRPr="003B0C72">
        <w:rPr>
          <w:rFonts w:ascii="Times New Roman" w:hAnsi="Times New Roman" w:cs="Times New Roman"/>
          <w:sz w:val="22"/>
          <w:szCs w:val="22"/>
        </w:rPr>
        <w:t>United States v. Jones, 231 F.3d 508, 516 (9th Cir. 2000)</w:t>
      </w:r>
    </w:p>
    <w:p w14:paraId="3B92F334" w14:textId="6D3F2A3A" w:rsidR="00A207F9" w:rsidRPr="003B0C72" w:rsidRDefault="00AE5315" w:rsidP="00907B8A">
      <w:pPr>
        <w:pStyle w:val="ListParagraph"/>
        <w:numPr>
          <w:ilvl w:val="1"/>
          <w:numId w:val="3"/>
        </w:numPr>
        <w:spacing w:after="0"/>
        <w:rPr>
          <w:rFonts w:ascii="Times New Roman" w:hAnsi="Times New Roman" w:cs="Times New Roman"/>
          <w:sz w:val="22"/>
          <w:szCs w:val="22"/>
        </w:rPr>
      </w:pPr>
      <w:r w:rsidRPr="003B0C72">
        <w:rPr>
          <w:rFonts w:ascii="Times New Roman" w:hAnsi="Times New Roman" w:cs="Times New Roman"/>
          <w:sz w:val="22"/>
          <w:szCs w:val="22"/>
        </w:rPr>
        <w:t xml:space="preserve">Defense of </w:t>
      </w:r>
      <w:r w:rsidR="00A207F9" w:rsidRPr="003B0C72">
        <w:rPr>
          <w:rFonts w:ascii="Times New Roman" w:hAnsi="Times New Roman" w:cs="Times New Roman"/>
          <w:sz w:val="22"/>
          <w:szCs w:val="22"/>
        </w:rPr>
        <w:t>Entrapment elements</w:t>
      </w:r>
    </w:p>
    <w:p w14:paraId="50E20F30" w14:textId="1A79580D" w:rsidR="000A6117" w:rsidRPr="003B0C72" w:rsidRDefault="00A207F9" w:rsidP="00907B8A">
      <w:pPr>
        <w:pStyle w:val="ListParagraph"/>
        <w:numPr>
          <w:ilvl w:val="2"/>
          <w:numId w:val="3"/>
        </w:numPr>
        <w:spacing w:after="0"/>
        <w:rPr>
          <w:rFonts w:ascii="Times New Roman" w:hAnsi="Times New Roman" w:cs="Times New Roman"/>
          <w:sz w:val="22"/>
          <w:szCs w:val="22"/>
        </w:rPr>
      </w:pPr>
      <w:r w:rsidRPr="003B0C72">
        <w:rPr>
          <w:rFonts w:ascii="Times New Roman" w:hAnsi="Times New Roman" w:cs="Times New Roman"/>
          <w:sz w:val="22"/>
          <w:szCs w:val="22"/>
        </w:rPr>
        <w:t xml:space="preserve">The defense of entrapment contains </w:t>
      </w:r>
      <w:r w:rsidRPr="003B0C72">
        <w:rPr>
          <w:rFonts w:ascii="Times New Roman" w:hAnsi="Times New Roman" w:cs="Times New Roman"/>
          <w:b/>
          <w:bCs/>
          <w:sz w:val="22"/>
          <w:szCs w:val="22"/>
        </w:rPr>
        <w:t>two</w:t>
      </w:r>
      <w:r w:rsidRPr="003B0C72">
        <w:rPr>
          <w:rFonts w:ascii="Times New Roman" w:hAnsi="Times New Roman" w:cs="Times New Roman"/>
          <w:sz w:val="22"/>
          <w:szCs w:val="22"/>
        </w:rPr>
        <w:t xml:space="preserve"> elements: (1) government inducement of the crime, and (2) the absence of predisposition on the part of the defendant. </w:t>
      </w:r>
    </w:p>
    <w:p w14:paraId="11C8C27B" w14:textId="4C317367" w:rsidR="00997604" w:rsidRPr="003B0C72" w:rsidRDefault="00A207F9" w:rsidP="00907B8A">
      <w:pPr>
        <w:pStyle w:val="ListParagraph"/>
        <w:numPr>
          <w:ilvl w:val="2"/>
          <w:numId w:val="3"/>
        </w:numPr>
        <w:spacing w:after="0"/>
        <w:rPr>
          <w:rFonts w:ascii="Times New Roman" w:hAnsi="Times New Roman" w:cs="Times New Roman"/>
          <w:sz w:val="22"/>
          <w:szCs w:val="22"/>
        </w:rPr>
      </w:pPr>
      <w:r w:rsidRPr="003B0C72">
        <w:rPr>
          <w:rFonts w:ascii="Times New Roman" w:hAnsi="Times New Roman" w:cs="Times New Roman"/>
          <w:sz w:val="22"/>
          <w:szCs w:val="22"/>
        </w:rPr>
        <w:t>Generally, whether a defendant was entrapped is a question for the jury</w:t>
      </w:r>
      <w:r w:rsidR="008432FA" w:rsidRPr="003B0C72">
        <w:rPr>
          <w:rFonts w:ascii="Times New Roman" w:hAnsi="Times New Roman" w:cs="Times New Roman"/>
          <w:sz w:val="22"/>
          <w:szCs w:val="22"/>
        </w:rPr>
        <w:t>.</w:t>
      </w:r>
      <w:r w:rsidRPr="003B0C72">
        <w:rPr>
          <w:rFonts w:ascii="Times New Roman" w:hAnsi="Times New Roman" w:cs="Times New Roman"/>
          <w:sz w:val="22"/>
          <w:szCs w:val="22"/>
        </w:rPr>
        <w:t xml:space="preserve"> </w:t>
      </w:r>
    </w:p>
    <w:p w14:paraId="437E003C" w14:textId="77777777" w:rsidR="00172AF0" w:rsidRPr="003B0C72" w:rsidRDefault="009D00DD" w:rsidP="00907B8A">
      <w:pPr>
        <w:pStyle w:val="ListParagraph"/>
        <w:numPr>
          <w:ilvl w:val="2"/>
          <w:numId w:val="3"/>
        </w:numPr>
        <w:spacing w:after="0"/>
        <w:rPr>
          <w:rFonts w:ascii="Times New Roman" w:hAnsi="Times New Roman" w:cs="Times New Roman"/>
          <w:sz w:val="22"/>
          <w:szCs w:val="22"/>
        </w:rPr>
      </w:pPr>
      <w:r w:rsidRPr="003B0C72">
        <w:rPr>
          <w:rFonts w:ascii="Times New Roman" w:hAnsi="Times New Roman" w:cs="Times New Roman"/>
          <w:sz w:val="22"/>
          <w:szCs w:val="22"/>
        </w:rPr>
        <w:t>entrapment defense is submitted to the jury</w:t>
      </w:r>
      <w:r w:rsidR="00467544" w:rsidRPr="003B0C72">
        <w:rPr>
          <w:rFonts w:ascii="Times New Roman" w:hAnsi="Times New Roman" w:cs="Times New Roman"/>
          <w:sz w:val="22"/>
          <w:szCs w:val="22"/>
        </w:rPr>
        <w:t xml:space="preserve"> </w:t>
      </w:r>
      <w:r w:rsidR="00467544" w:rsidRPr="003B0C72">
        <w:rPr>
          <w:rFonts w:ascii="Times New Roman" w:hAnsi="Times New Roman" w:cs="Times New Roman"/>
          <w:sz w:val="22"/>
          <w:szCs w:val="22"/>
        </w:rPr>
        <w:sym w:font="Wingdings" w:char="F0E0"/>
      </w:r>
      <w:r w:rsidR="00467544" w:rsidRPr="003B0C72">
        <w:rPr>
          <w:rFonts w:ascii="Times New Roman" w:hAnsi="Times New Roman" w:cs="Times New Roman"/>
          <w:sz w:val="22"/>
          <w:szCs w:val="22"/>
        </w:rPr>
        <w:t xml:space="preserve"> </w:t>
      </w:r>
      <w:r w:rsidRPr="003B0C72">
        <w:rPr>
          <w:rFonts w:ascii="Times New Roman" w:hAnsi="Times New Roman" w:cs="Times New Roman"/>
          <w:sz w:val="22"/>
          <w:szCs w:val="22"/>
        </w:rPr>
        <w:t xml:space="preserve">an appellate court should not disturb the jury's finding unless, viewing the evidence in the light most favorable to the government, no reasonable jury could have concluded that the government had disproved either of the elements of the entrapment defense. </w:t>
      </w:r>
    </w:p>
    <w:p w14:paraId="12E80DD8" w14:textId="1F0D3408" w:rsidR="00907B8A" w:rsidRDefault="009D00DD" w:rsidP="00907B8A">
      <w:pPr>
        <w:pStyle w:val="ListParagraph"/>
        <w:numPr>
          <w:ilvl w:val="2"/>
          <w:numId w:val="3"/>
        </w:numPr>
        <w:spacing w:after="0"/>
        <w:rPr>
          <w:rFonts w:ascii="Times New Roman" w:hAnsi="Times New Roman" w:cs="Times New Roman"/>
          <w:sz w:val="22"/>
          <w:szCs w:val="22"/>
        </w:rPr>
      </w:pPr>
      <w:r w:rsidRPr="003B0C72">
        <w:rPr>
          <w:rFonts w:ascii="Times New Roman" w:hAnsi="Times New Roman" w:cs="Times New Roman"/>
          <w:sz w:val="22"/>
          <w:szCs w:val="22"/>
        </w:rPr>
        <w:t>In this case, there was sufficient evidence for a reasonable jury to find either that Appellant was not induced by government agents or that he was predisposed to commit the crimes charged.</w:t>
      </w:r>
    </w:p>
    <w:p w14:paraId="5891E7AE" w14:textId="364E0BF2" w:rsidR="00B603AB" w:rsidRDefault="00B603AB" w:rsidP="00B603AB">
      <w:pPr>
        <w:pStyle w:val="ListParagraph"/>
        <w:numPr>
          <w:ilvl w:val="1"/>
          <w:numId w:val="3"/>
        </w:numPr>
        <w:spacing w:after="0"/>
        <w:rPr>
          <w:rFonts w:ascii="Times New Roman" w:hAnsi="Times New Roman" w:cs="Times New Roman"/>
          <w:sz w:val="22"/>
          <w:szCs w:val="22"/>
        </w:rPr>
      </w:pPr>
      <w:r>
        <w:rPr>
          <w:rFonts w:ascii="Times New Roman" w:hAnsi="Times New Roman" w:cs="Times New Roman"/>
          <w:sz w:val="22"/>
          <w:szCs w:val="22"/>
        </w:rPr>
        <w:t>Inducement</w:t>
      </w:r>
    </w:p>
    <w:p w14:paraId="6B2D20B9" w14:textId="4395F422" w:rsidR="00B603AB" w:rsidRDefault="006724ED" w:rsidP="00B603AB">
      <w:pPr>
        <w:pStyle w:val="ListParagraph"/>
        <w:numPr>
          <w:ilvl w:val="2"/>
          <w:numId w:val="3"/>
        </w:numPr>
        <w:spacing w:after="0"/>
        <w:rPr>
          <w:rFonts w:ascii="Times New Roman" w:hAnsi="Times New Roman" w:cs="Times New Roman"/>
          <w:sz w:val="22"/>
          <w:szCs w:val="22"/>
        </w:rPr>
      </w:pPr>
      <w:r>
        <w:rPr>
          <w:rFonts w:ascii="Times New Roman" w:hAnsi="Times New Roman" w:cs="Times New Roman"/>
          <w:sz w:val="22"/>
          <w:szCs w:val="22"/>
        </w:rPr>
        <w:t xml:space="preserve">(517) </w:t>
      </w:r>
      <w:r w:rsidRPr="006724ED">
        <w:rPr>
          <w:rFonts w:ascii="Times New Roman" w:hAnsi="Times New Roman" w:cs="Times New Roman"/>
          <w:sz w:val="22"/>
          <w:szCs w:val="22"/>
        </w:rPr>
        <w:t>Factors in determining whether a person is a government agent include “the nature of that person's relationship with the government, the purposes for which it was understood that person might act on behalf of the government, the instructions given to that person about the nature and extent of permissible activities, and what the government knew about those activities and permitted or used.” Ninth Cir. Model Jury Instr. Crim § 6.3.</w:t>
      </w:r>
    </w:p>
    <w:p w14:paraId="6AC39A16" w14:textId="1983EB9C" w:rsidR="004D1A65" w:rsidRDefault="004D1A65" w:rsidP="00B603AB">
      <w:pPr>
        <w:pStyle w:val="ListParagraph"/>
        <w:numPr>
          <w:ilvl w:val="2"/>
          <w:numId w:val="3"/>
        </w:numPr>
        <w:spacing w:after="0"/>
        <w:rPr>
          <w:rFonts w:ascii="Times New Roman" w:hAnsi="Times New Roman" w:cs="Times New Roman"/>
          <w:sz w:val="22"/>
          <w:szCs w:val="22"/>
        </w:rPr>
      </w:pPr>
      <w:r>
        <w:rPr>
          <w:rFonts w:ascii="Times New Roman" w:hAnsi="Times New Roman" w:cs="Times New Roman"/>
          <w:sz w:val="22"/>
          <w:szCs w:val="22"/>
        </w:rPr>
        <w:t>(517) I</w:t>
      </w:r>
      <w:r w:rsidRPr="004D1A65">
        <w:rPr>
          <w:rFonts w:ascii="Times New Roman" w:hAnsi="Times New Roman" w:cs="Times New Roman"/>
          <w:sz w:val="22"/>
          <w:szCs w:val="22"/>
        </w:rPr>
        <w:t>n sum, although the government agreed to accommodate King's decision to “call the loans,” a reasonable jury could have found that the agents did not “authorize, direct or supervise” his activities.</w:t>
      </w:r>
    </w:p>
    <w:p w14:paraId="74F26E20" w14:textId="7D3B8491" w:rsidR="004D1A65" w:rsidRPr="003B0C72" w:rsidRDefault="004D1A65" w:rsidP="00B603AB">
      <w:pPr>
        <w:pStyle w:val="ListParagraph"/>
        <w:numPr>
          <w:ilvl w:val="2"/>
          <w:numId w:val="3"/>
        </w:numPr>
        <w:spacing w:after="0"/>
        <w:rPr>
          <w:rFonts w:ascii="Times New Roman" w:hAnsi="Times New Roman" w:cs="Times New Roman"/>
          <w:sz w:val="22"/>
          <w:szCs w:val="22"/>
        </w:rPr>
      </w:pPr>
      <w:r>
        <w:rPr>
          <w:rFonts w:ascii="Times New Roman" w:hAnsi="Times New Roman" w:cs="Times New Roman"/>
          <w:sz w:val="22"/>
          <w:szCs w:val="22"/>
        </w:rPr>
        <w:t xml:space="preserve">(517) </w:t>
      </w:r>
      <w:r w:rsidRPr="004D1A65">
        <w:rPr>
          <w:rFonts w:ascii="Times New Roman" w:hAnsi="Times New Roman" w:cs="Times New Roman"/>
          <w:sz w:val="22"/>
          <w:szCs w:val="22"/>
        </w:rPr>
        <w:t>“Inducement has been defined as ‘repeated and persistent solicitation’ or ‘persuasion’ which overcomes the defendant's reluctance.</w:t>
      </w:r>
      <w:r>
        <w:rPr>
          <w:rFonts w:ascii="Times New Roman" w:hAnsi="Times New Roman" w:cs="Times New Roman"/>
          <w:sz w:val="22"/>
          <w:szCs w:val="22"/>
        </w:rPr>
        <w:t xml:space="preserve"> </w:t>
      </w:r>
      <w:r w:rsidR="002D1C63" w:rsidRPr="002D1C63">
        <w:rPr>
          <w:rFonts w:ascii="Times New Roman" w:hAnsi="Times New Roman" w:cs="Times New Roman"/>
          <w:sz w:val="22"/>
          <w:szCs w:val="22"/>
        </w:rPr>
        <w:t>Mere suggestions or the offering of an opportunity to commit a crime is not conduct amounting to inducement.”</w:t>
      </w:r>
    </w:p>
    <w:p w14:paraId="6158DE13" w14:textId="00A1088A" w:rsidR="00AE5315" w:rsidRPr="003B0C72" w:rsidRDefault="00870DA1" w:rsidP="00907B8A">
      <w:pPr>
        <w:pStyle w:val="Heading2"/>
        <w:numPr>
          <w:ilvl w:val="0"/>
          <w:numId w:val="3"/>
        </w:numPr>
        <w:rPr>
          <w:rFonts w:ascii="Times New Roman" w:hAnsi="Times New Roman" w:cs="Times New Roman"/>
          <w:color w:val="auto"/>
          <w:sz w:val="22"/>
          <w:szCs w:val="22"/>
        </w:rPr>
      </w:pPr>
      <w:hyperlink r:id="rId8" w:anchor="co_pp_sp_350_1124" w:history="1">
        <w:r w:rsidR="004F4182" w:rsidRPr="003B0C72">
          <w:rPr>
            <w:rStyle w:val="Emphasis"/>
            <w:rFonts w:ascii="Times New Roman" w:hAnsi="Times New Roman" w:cs="Times New Roman"/>
            <w:color w:val="0E568C"/>
            <w:sz w:val="22"/>
            <w:szCs w:val="22"/>
            <w:bdr w:val="none" w:sz="0" w:space="0" w:color="auto" w:frame="1"/>
            <w:shd w:val="clear" w:color="auto" w:fill="FFFFFF"/>
          </w:rPr>
          <w:t>United States v. Smith,</w:t>
        </w:r>
        <w:r w:rsidR="004F4182" w:rsidRPr="003B0C72">
          <w:rPr>
            <w:rStyle w:val="Hyperlink"/>
            <w:rFonts w:ascii="Times New Roman" w:hAnsi="Times New Roman" w:cs="Times New Roman"/>
            <w:color w:val="0E568C"/>
            <w:sz w:val="22"/>
            <w:szCs w:val="22"/>
            <w:bdr w:val="none" w:sz="0" w:space="0" w:color="auto" w:frame="1"/>
            <w:shd w:val="clear" w:color="auto" w:fill="FFFFFF"/>
          </w:rPr>
          <w:t> 802 F.2d 1119, 1124 (9th Cir.1986)</w:t>
        </w:r>
      </w:hyperlink>
      <w:r w:rsidR="004F4182" w:rsidRPr="003B0C72">
        <w:rPr>
          <w:rFonts w:ascii="Times New Roman" w:hAnsi="Times New Roman" w:cs="Times New Roman"/>
          <w:color w:val="3D3D3D"/>
          <w:sz w:val="22"/>
          <w:szCs w:val="22"/>
          <w:shd w:val="clear" w:color="auto" w:fill="FFFFFF"/>
        </w:rPr>
        <w:t>.</w:t>
      </w:r>
    </w:p>
    <w:p w14:paraId="4023C04F" w14:textId="4EBD3926" w:rsidR="004F4182" w:rsidRPr="003B0C72" w:rsidRDefault="004F4182" w:rsidP="00907B8A">
      <w:pPr>
        <w:pStyle w:val="ListParagraph"/>
        <w:numPr>
          <w:ilvl w:val="1"/>
          <w:numId w:val="3"/>
        </w:numPr>
        <w:spacing w:after="0"/>
        <w:rPr>
          <w:rStyle w:val="Emphasis"/>
          <w:rFonts w:ascii="Times New Roman" w:hAnsi="Times New Roman" w:cs="Times New Roman"/>
          <w:i w:val="0"/>
          <w:iCs w:val="0"/>
          <w:sz w:val="22"/>
          <w:szCs w:val="22"/>
        </w:rPr>
      </w:pPr>
      <w:r w:rsidRPr="003B0C72">
        <w:rPr>
          <w:rStyle w:val="Emphasis"/>
          <w:rFonts w:ascii="Times New Roman" w:hAnsi="Times New Roman" w:cs="Times New Roman"/>
          <w:i w:val="0"/>
          <w:iCs w:val="0"/>
          <w:color w:val="3D3D3D"/>
          <w:sz w:val="22"/>
          <w:szCs w:val="22"/>
          <w:bdr w:val="none" w:sz="0" w:space="0" w:color="auto" w:frame="1"/>
          <w:shd w:val="clear" w:color="auto" w:fill="FFFFFF"/>
        </w:rPr>
        <w:t xml:space="preserve">Entrapment as matter of law </w:t>
      </w:r>
    </w:p>
    <w:p w14:paraId="4C463960" w14:textId="6133A44E" w:rsidR="004F4182" w:rsidRPr="003B0C72" w:rsidRDefault="004F4182" w:rsidP="00A935C5">
      <w:pPr>
        <w:pStyle w:val="ListParagraph"/>
        <w:numPr>
          <w:ilvl w:val="2"/>
          <w:numId w:val="3"/>
        </w:numPr>
        <w:spacing w:after="0"/>
        <w:rPr>
          <w:rFonts w:ascii="Times New Roman" w:hAnsi="Times New Roman" w:cs="Times New Roman"/>
          <w:sz w:val="22"/>
          <w:szCs w:val="22"/>
        </w:rPr>
      </w:pPr>
      <w:r w:rsidRPr="003B0C72">
        <w:rPr>
          <w:rFonts w:ascii="Times New Roman" w:hAnsi="Times New Roman" w:cs="Times New Roman"/>
          <w:color w:val="3D3D3D"/>
          <w:sz w:val="22"/>
          <w:szCs w:val="22"/>
          <w:shd w:val="clear" w:color="auto" w:fill="FFFFFF"/>
        </w:rPr>
        <w:lastRenderedPageBreak/>
        <w:t>To establish entrapment as a matter of law, the defendant must point to </w:t>
      </w:r>
      <w:r w:rsidRPr="003B0C72">
        <w:rPr>
          <w:rStyle w:val="Emphasis"/>
          <w:rFonts w:ascii="Times New Roman" w:hAnsi="Times New Roman" w:cs="Times New Roman"/>
          <w:color w:val="3D3D3D"/>
          <w:sz w:val="22"/>
          <w:szCs w:val="22"/>
          <w:bdr w:val="none" w:sz="0" w:space="0" w:color="auto" w:frame="1"/>
          <w:shd w:val="clear" w:color="auto" w:fill="FFFFFF"/>
        </w:rPr>
        <w:t>undisputed</w:t>
      </w:r>
      <w:r w:rsidRPr="003B0C72">
        <w:rPr>
          <w:rFonts w:ascii="Times New Roman" w:hAnsi="Times New Roman" w:cs="Times New Roman"/>
          <w:color w:val="3D3D3D"/>
          <w:sz w:val="22"/>
          <w:szCs w:val="22"/>
          <w:shd w:val="clear" w:color="auto" w:fill="FFFFFF"/>
        </w:rPr>
        <w:t> evidence of entrapment. </w:t>
      </w:r>
    </w:p>
    <w:p w14:paraId="04AF5AF2" w14:textId="21446064" w:rsidR="00120A63" w:rsidRDefault="00120A63" w:rsidP="00A935C5">
      <w:pPr>
        <w:pStyle w:val="Heading2"/>
        <w:numPr>
          <w:ilvl w:val="0"/>
          <w:numId w:val="3"/>
        </w:numPr>
        <w:rPr>
          <w:rFonts w:ascii="Times New Roman" w:eastAsiaTheme="minorHAnsi" w:hAnsi="Times New Roman" w:cs="Times New Roman"/>
          <w:color w:val="auto"/>
          <w:sz w:val="22"/>
          <w:szCs w:val="22"/>
        </w:rPr>
      </w:pPr>
      <w:r w:rsidRPr="00120A63">
        <w:rPr>
          <w:rFonts w:ascii="Times New Roman" w:eastAsiaTheme="minorHAnsi" w:hAnsi="Times New Roman" w:cs="Times New Roman"/>
          <w:color w:val="auto"/>
          <w:sz w:val="22"/>
          <w:szCs w:val="22"/>
        </w:rPr>
        <w:t>United States v. Hsieh Hui Mei Chen, 754 F.2d 817, 821 (9th Cir. 1985))</w:t>
      </w:r>
      <w:r>
        <w:rPr>
          <w:rFonts w:ascii="Times New Roman" w:eastAsiaTheme="minorHAnsi" w:hAnsi="Times New Roman" w:cs="Times New Roman"/>
          <w:color w:val="auto"/>
          <w:sz w:val="22"/>
          <w:szCs w:val="22"/>
        </w:rPr>
        <w:t>.</w:t>
      </w:r>
    </w:p>
    <w:p w14:paraId="185E61B3" w14:textId="28D9179C" w:rsidR="00120A63" w:rsidRDefault="00147194" w:rsidP="00120A63">
      <w:pPr>
        <w:pStyle w:val="ListParagraph"/>
        <w:numPr>
          <w:ilvl w:val="1"/>
          <w:numId w:val="3"/>
        </w:numPr>
      </w:pPr>
      <w:r>
        <w:t xml:space="preserve">Entrapment as a matter of law </w:t>
      </w:r>
    </w:p>
    <w:p w14:paraId="591DA2DE" w14:textId="77777777" w:rsidR="00654BC6" w:rsidRDefault="00654BC6" w:rsidP="00654BC6">
      <w:pPr>
        <w:pStyle w:val="ListParagraph"/>
        <w:numPr>
          <w:ilvl w:val="2"/>
          <w:numId w:val="3"/>
        </w:numPr>
        <w:spacing w:after="0"/>
      </w:pPr>
      <w:r>
        <w:t xml:space="preserve">In order to show that entrapment exists as a matter of law, there must be undisputed testimony making it patently clear that an otherwise innocent person was induced to commit the act complained of by trickery, persuasion, or fraud of a government agent. </w:t>
      </w:r>
      <w:r w:rsidRPr="00654BC6">
        <w:rPr>
          <w:u w:val="single"/>
        </w:rPr>
        <w:t>United States v. Rangel</w:t>
      </w:r>
      <w:r>
        <w:t xml:space="preserve">, 534 F.2d 147, 149 (9th Cir.), cert. denied, 429 U.S. 854, 97 S.Ct. 147, 50 L.Ed.2d 129 (1976); see </w:t>
      </w:r>
      <w:r w:rsidRPr="00654BC6">
        <w:rPr>
          <w:u w:val="single"/>
        </w:rPr>
        <w:t>United States v. Abushi</w:t>
      </w:r>
      <w:r>
        <w:t xml:space="preserve">, 682 F.2d 1289, 1297 (9th Cir.1982). </w:t>
      </w:r>
    </w:p>
    <w:p w14:paraId="3615CE49" w14:textId="56B50889" w:rsidR="00654BC6" w:rsidRDefault="00654BC6" w:rsidP="00654BC6">
      <w:pPr>
        <w:pStyle w:val="ListParagraph"/>
        <w:numPr>
          <w:ilvl w:val="2"/>
          <w:numId w:val="3"/>
        </w:numPr>
        <w:spacing w:after="0"/>
      </w:pPr>
      <w:r>
        <w:t>The controlling question on review is whether the defendant lacks the predisposition to commit the act. Id.</w:t>
      </w:r>
      <w:r w:rsidR="00E50E9F">
        <w:t xml:space="preserve"> (</w:t>
      </w:r>
      <w:r w:rsidR="00E50E9F" w:rsidRPr="00E50E9F">
        <w:rPr>
          <w:u w:val="single"/>
        </w:rPr>
        <w:t>U.S. v. Rangel</w:t>
      </w:r>
      <w:r w:rsidR="00E50E9F">
        <w:t>)</w:t>
      </w:r>
      <w:r>
        <w:t xml:space="preserve"> at 1297.</w:t>
      </w:r>
    </w:p>
    <w:p w14:paraId="153329DE" w14:textId="0B4DD529" w:rsidR="00A80DE9" w:rsidRPr="003B0C72" w:rsidRDefault="009E0D41" w:rsidP="00A935C5">
      <w:pPr>
        <w:pStyle w:val="Heading2"/>
        <w:numPr>
          <w:ilvl w:val="0"/>
          <w:numId w:val="3"/>
        </w:numPr>
        <w:rPr>
          <w:rFonts w:ascii="Times New Roman" w:hAnsi="Times New Roman" w:cs="Times New Roman"/>
          <w:color w:val="auto"/>
          <w:sz w:val="22"/>
          <w:szCs w:val="22"/>
        </w:rPr>
      </w:pPr>
      <w:r w:rsidRPr="003B0C72">
        <w:rPr>
          <w:rFonts w:ascii="Times New Roman" w:hAnsi="Times New Roman" w:cs="Times New Roman"/>
          <w:sz w:val="22"/>
          <w:szCs w:val="22"/>
          <w:u w:val="single"/>
          <w:bdr w:val="none" w:sz="0" w:space="0" w:color="auto" w:frame="1"/>
        </w:rPr>
        <w:t>United States v. Davis</w:t>
      </w:r>
      <w:r w:rsidRPr="003B0C72">
        <w:rPr>
          <w:rFonts w:ascii="Times New Roman" w:hAnsi="Times New Roman" w:cs="Times New Roman"/>
          <w:sz w:val="22"/>
          <w:szCs w:val="22"/>
          <w:shd w:val="clear" w:color="auto" w:fill="FFFFFF"/>
        </w:rPr>
        <w:t>, 36 F.3d 1424, 1430 (9th Cir. 1994)</w:t>
      </w:r>
    </w:p>
    <w:p w14:paraId="2BC3B905" w14:textId="19A00F1F" w:rsidR="009E0D41" w:rsidRPr="003B0C72" w:rsidRDefault="009E0D41" w:rsidP="00A935C5">
      <w:pPr>
        <w:pStyle w:val="ListParagraph"/>
        <w:numPr>
          <w:ilvl w:val="1"/>
          <w:numId w:val="3"/>
        </w:numPr>
        <w:spacing w:after="0"/>
        <w:rPr>
          <w:rFonts w:ascii="Times New Roman" w:hAnsi="Times New Roman" w:cs="Times New Roman"/>
          <w:sz w:val="22"/>
          <w:szCs w:val="22"/>
        </w:rPr>
      </w:pPr>
      <w:r w:rsidRPr="003B0C72">
        <w:rPr>
          <w:rFonts w:ascii="Times New Roman" w:hAnsi="Times New Roman" w:cs="Times New Roman"/>
          <w:color w:val="000000"/>
          <w:sz w:val="22"/>
          <w:szCs w:val="22"/>
          <w:bdr w:val="none" w:sz="0" w:space="0" w:color="auto" w:frame="1"/>
        </w:rPr>
        <w:t xml:space="preserve">Defense of Entrapment </w:t>
      </w:r>
    </w:p>
    <w:p w14:paraId="2C70E12B" w14:textId="5F982738" w:rsidR="000C51FD" w:rsidRPr="003B0C72" w:rsidRDefault="000C51FD" w:rsidP="00A935C5">
      <w:pPr>
        <w:pStyle w:val="ListParagraph"/>
        <w:numPr>
          <w:ilvl w:val="2"/>
          <w:numId w:val="3"/>
        </w:numPr>
        <w:spacing w:after="0"/>
        <w:rPr>
          <w:rFonts w:ascii="Times New Roman" w:hAnsi="Times New Roman" w:cs="Times New Roman"/>
          <w:sz w:val="22"/>
          <w:szCs w:val="22"/>
        </w:rPr>
      </w:pPr>
      <w:r w:rsidRPr="003B0C72">
        <w:rPr>
          <w:rFonts w:ascii="Times New Roman" w:hAnsi="Times New Roman" w:cs="Times New Roman"/>
          <w:color w:val="000000"/>
          <w:sz w:val="22"/>
          <w:szCs w:val="22"/>
          <w:shd w:val="clear" w:color="auto" w:fill="FFFFFF"/>
        </w:rPr>
        <w:t>There are two elements to the defense of entrapment: (1) government inducement of the crime, and (2) the absence of predisposition on the part of the defendant. </w:t>
      </w:r>
    </w:p>
    <w:p w14:paraId="05BBF001" w14:textId="595AD109" w:rsidR="003973C4" w:rsidRPr="003B0C72" w:rsidRDefault="003973C4" w:rsidP="003973C4">
      <w:pPr>
        <w:pStyle w:val="ListParagraph"/>
        <w:numPr>
          <w:ilvl w:val="1"/>
          <w:numId w:val="3"/>
        </w:numPr>
        <w:spacing w:after="0"/>
        <w:rPr>
          <w:rFonts w:ascii="Times New Roman" w:hAnsi="Times New Roman" w:cs="Times New Roman"/>
          <w:sz w:val="22"/>
          <w:szCs w:val="22"/>
        </w:rPr>
      </w:pPr>
      <w:r w:rsidRPr="003B0C72">
        <w:rPr>
          <w:rFonts w:ascii="Times New Roman" w:hAnsi="Times New Roman" w:cs="Times New Roman"/>
          <w:color w:val="000000"/>
          <w:sz w:val="22"/>
          <w:szCs w:val="22"/>
          <w:shd w:val="clear" w:color="auto" w:fill="FFFFFF"/>
        </w:rPr>
        <w:t>Inducement</w:t>
      </w:r>
    </w:p>
    <w:p w14:paraId="233F1EAB" w14:textId="21237B02" w:rsidR="00F40239" w:rsidRPr="003B0C72" w:rsidRDefault="00F40239" w:rsidP="00A935C5">
      <w:pPr>
        <w:pStyle w:val="ListParagraph"/>
        <w:numPr>
          <w:ilvl w:val="2"/>
          <w:numId w:val="3"/>
        </w:numPr>
        <w:spacing w:after="0"/>
        <w:rPr>
          <w:rFonts w:ascii="Times New Roman" w:hAnsi="Times New Roman" w:cs="Times New Roman"/>
          <w:sz w:val="22"/>
          <w:szCs w:val="22"/>
        </w:rPr>
      </w:pPr>
      <w:r w:rsidRPr="003B0C72">
        <w:rPr>
          <w:rFonts w:ascii="Times New Roman" w:hAnsi="Times New Roman" w:cs="Times New Roman"/>
          <w:color w:val="000000"/>
          <w:sz w:val="22"/>
          <w:szCs w:val="22"/>
          <w:shd w:val="clear" w:color="auto" w:fill="FFFFFF"/>
        </w:rPr>
        <w:t>Where the government has induced an individual to break the law and the defense of entrapment is at issue, the prosecution must prove beyond a reasonable doubt that the defendant was predisposed to commit the crime prior to first being approached by government agents. </w:t>
      </w:r>
      <w:r w:rsidRPr="003B0C72">
        <w:rPr>
          <w:rStyle w:val="Emphasis"/>
          <w:rFonts w:ascii="Times New Roman" w:hAnsi="Times New Roman" w:cs="Times New Roman"/>
          <w:color w:val="000000"/>
          <w:sz w:val="22"/>
          <w:szCs w:val="22"/>
          <w:bdr w:val="none" w:sz="0" w:space="0" w:color="auto" w:frame="1"/>
        </w:rPr>
        <w:t>See Jacobson v. United States,</w:t>
      </w:r>
      <w:r w:rsidRPr="003B0C72">
        <w:rPr>
          <w:rFonts w:ascii="Times New Roman" w:hAnsi="Times New Roman" w:cs="Times New Roman"/>
          <w:color w:val="000000"/>
          <w:sz w:val="22"/>
          <w:szCs w:val="22"/>
          <w:shd w:val="clear" w:color="auto" w:fill="FFFFFF"/>
        </w:rPr>
        <w:t> 503 U.S. 540, ----, 112 S.Ct. 1535, 1540, 118 L.Ed.2d 174 (1992).</w:t>
      </w:r>
    </w:p>
    <w:p w14:paraId="6932D2DE" w14:textId="0C12244F" w:rsidR="00907B8A" w:rsidRPr="003B0C72" w:rsidRDefault="00907B8A" w:rsidP="00A935C5">
      <w:pPr>
        <w:pStyle w:val="ListParagraph"/>
        <w:numPr>
          <w:ilvl w:val="2"/>
          <w:numId w:val="3"/>
        </w:numPr>
        <w:spacing w:after="0"/>
        <w:rPr>
          <w:rFonts w:ascii="Times New Roman" w:hAnsi="Times New Roman" w:cs="Times New Roman"/>
          <w:sz w:val="22"/>
          <w:szCs w:val="22"/>
        </w:rPr>
      </w:pPr>
      <w:r w:rsidRPr="003B0C72">
        <w:rPr>
          <w:rFonts w:ascii="Times New Roman" w:hAnsi="Times New Roman" w:cs="Times New Roman"/>
          <w:color w:val="000000"/>
          <w:sz w:val="22"/>
          <w:szCs w:val="22"/>
          <w:shd w:val="clear" w:color="auto" w:fill="FFFFFF"/>
        </w:rPr>
        <w:t>Inducement must be provided by someone acting for the government.</w:t>
      </w:r>
      <w:r w:rsidRPr="003B0C72">
        <w:rPr>
          <w:rFonts w:ascii="Times New Roman" w:hAnsi="Times New Roman" w:cs="Times New Roman"/>
          <w:color w:val="000000"/>
          <w:sz w:val="22"/>
          <w:szCs w:val="22"/>
          <w:bdr w:val="none" w:sz="0" w:space="0" w:color="auto" w:frame="1"/>
          <w:vertAlign w:val="superscript"/>
        </w:rPr>
        <w:t>2</w:t>
      </w:r>
      <w:r w:rsidRPr="003B0C72">
        <w:rPr>
          <w:rFonts w:ascii="Times New Roman" w:hAnsi="Times New Roman" w:cs="Times New Roman"/>
          <w:color w:val="000000"/>
          <w:sz w:val="22"/>
          <w:szCs w:val="22"/>
          <w:shd w:val="clear" w:color="auto" w:fill="FFFFFF"/>
        </w:rPr>
        <w:t> </w:t>
      </w:r>
      <w:r w:rsidRPr="003B0C72">
        <w:rPr>
          <w:rFonts w:ascii="Times New Roman" w:hAnsi="Times New Roman" w:cs="Times New Roman"/>
          <w:noProof/>
          <w:color w:val="000000"/>
          <w:sz w:val="22"/>
          <w:szCs w:val="22"/>
          <w:bdr w:val="none" w:sz="0" w:space="0" w:color="auto" w:frame="1"/>
          <w:shd w:val="clear" w:color="auto" w:fill="FFFFFF"/>
        </w:rPr>
        <w:drawing>
          <wp:inline distT="0" distB="0" distL="0" distR="0" wp14:anchorId="5FDA6C2C" wp14:editId="6967AFD5">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B0C72">
        <w:rPr>
          <w:rStyle w:val="Emphasis"/>
          <w:rFonts w:ascii="Times New Roman" w:hAnsi="Times New Roman" w:cs="Times New Roman"/>
          <w:color w:val="000000"/>
          <w:sz w:val="22"/>
          <w:szCs w:val="22"/>
          <w:bdr w:val="none" w:sz="0" w:space="0" w:color="auto" w:frame="1"/>
        </w:rPr>
        <w:t>United States v. Becerra,</w:t>
      </w:r>
      <w:r w:rsidRPr="003B0C72">
        <w:rPr>
          <w:rFonts w:ascii="Times New Roman" w:hAnsi="Times New Roman" w:cs="Times New Roman"/>
          <w:color w:val="000000"/>
          <w:sz w:val="22"/>
          <w:szCs w:val="22"/>
          <w:shd w:val="clear" w:color="auto" w:fill="FFFFFF"/>
        </w:rPr>
        <w:t> 992 F.2d 960, 963 (9th Cir.1993) (citation omitted). Inducement can be any government conduct creating a substantial risk that an otherwise law-abiding citizen would commit an offense, including persuasion, fraudulent representations, threats, coercive tactics, harassment, promises of reward, or pleas based on need, sympathy or friendship. </w:t>
      </w:r>
      <w:r w:rsidRPr="003B0C72">
        <w:rPr>
          <w:rStyle w:val="Emphasis"/>
          <w:rFonts w:ascii="Times New Roman" w:hAnsi="Times New Roman" w:cs="Times New Roman"/>
          <w:color w:val="000000"/>
          <w:sz w:val="22"/>
          <w:szCs w:val="22"/>
          <w:bdr w:val="none" w:sz="0" w:space="0" w:color="auto" w:frame="1"/>
        </w:rPr>
        <w:t>See United States v. Garza-Juarez,</w:t>
      </w:r>
      <w:r w:rsidRPr="003B0C72">
        <w:rPr>
          <w:rFonts w:ascii="Times New Roman" w:hAnsi="Times New Roman" w:cs="Times New Roman"/>
          <w:color w:val="000000"/>
          <w:sz w:val="22"/>
          <w:szCs w:val="22"/>
          <w:shd w:val="clear" w:color="auto" w:fill="FFFFFF"/>
        </w:rPr>
        <w:t> 992 F.2d 896, 909 (9th Cir.1993) (citations omitted).</w:t>
      </w:r>
    </w:p>
    <w:p w14:paraId="2F079C9A" w14:textId="204090F0" w:rsidR="003973C4" w:rsidRPr="003B0C72" w:rsidRDefault="003973C4" w:rsidP="003973C4">
      <w:pPr>
        <w:pStyle w:val="ListParagraph"/>
        <w:numPr>
          <w:ilvl w:val="1"/>
          <w:numId w:val="3"/>
        </w:numPr>
        <w:spacing w:after="0"/>
        <w:rPr>
          <w:rFonts w:ascii="Times New Roman" w:hAnsi="Times New Roman" w:cs="Times New Roman"/>
          <w:sz w:val="22"/>
          <w:szCs w:val="22"/>
        </w:rPr>
      </w:pPr>
      <w:r w:rsidRPr="003B0C72">
        <w:rPr>
          <w:rFonts w:ascii="Times New Roman" w:hAnsi="Times New Roman" w:cs="Times New Roman"/>
          <w:color w:val="000000"/>
          <w:sz w:val="22"/>
          <w:szCs w:val="22"/>
          <w:shd w:val="clear" w:color="auto" w:fill="FFFFFF"/>
        </w:rPr>
        <w:t xml:space="preserve">Predisposition Evaluation (5 factors) </w:t>
      </w:r>
    </w:p>
    <w:p w14:paraId="446BD91C" w14:textId="10785EFA" w:rsidR="003973C4" w:rsidRPr="003B0C72" w:rsidRDefault="00EE02AF" w:rsidP="003973C4">
      <w:pPr>
        <w:pStyle w:val="ListParagraph"/>
        <w:numPr>
          <w:ilvl w:val="2"/>
          <w:numId w:val="3"/>
        </w:numPr>
        <w:spacing w:after="0"/>
        <w:rPr>
          <w:rStyle w:val="Emphasis"/>
          <w:rFonts w:ascii="Times New Roman" w:hAnsi="Times New Roman" w:cs="Times New Roman"/>
          <w:i w:val="0"/>
          <w:iCs w:val="0"/>
          <w:sz w:val="22"/>
          <w:szCs w:val="22"/>
        </w:rPr>
      </w:pPr>
      <w:r w:rsidRPr="003B0C72">
        <w:rPr>
          <w:rFonts w:ascii="Times New Roman" w:hAnsi="Times New Roman" w:cs="Times New Roman"/>
          <w:color w:val="000000"/>
          <w:sz w:val="22"/>
          <w:szCs w:val="22"/>
          <w:shd w:val="clear" w:color="auto" w:fill="FFFFFF"/>
        </w:rPr>
        <w:t>In evaluating predisposition, the court reviews five factors: (1) the character and reputation of the defendant; (2) whether the government made the initial suggestion of criminal activity; (3) whether the defendant engaged in the activity for profit; (4) whether the defendant showed any reluctance; and (5) the nature of the government's inducement. </w:t>
      </w:r>
      <w:r w:rsidRPr="003B0C72">
        <w:rPr>
          <w:rFonts w:ascii="Times New Roman" w:hAnsi="Times New Roman" w:cs="Times New Roman"/>
          <w:noProof/>
          <w:color w:val="000000"/>
          <w:sz w:val="22"/>
          <w:szCs w:val="22"/>
          <w:bdr w:val="none" w:sz="0" w:space="0" w:color="auto" w:frame="1"/>
          <w:shd w:val="clear" w:color="auto" w:fill="FFFFFF"/>
        </w:rPr>
        <w:drawing>
          <wp:inline distT="0" distB="0" distL="0" distR="0" wp14:anchorId="34B84A0A" wp14:editId="5940A2AD">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B0C72">
        <w:rPr>
          <w:rStyle w:val="Emphasis"/>
          <w:rFonts w:ascii="Times New Roman" w:hAnsi="Times New Roman" w:cs="Times New Roman"/>
          <w:color w:val="000000"/>
          <w:sz w:val="22"/>
          <w:szCs w:val="22"/>
          <w:bdr w:val="none" w:sz="0" w:space="0" w:color="auto" w:frame="1"/>
        </w:rPr>
        <w:t>Becerra,</w:t>
      </w:r>
      <w:r w:rsidRPr="003B0C72">
        <w:rPr>
          <w:rFonts w:ascii="Times New Roman" w:hAnsi="Times New Roman" w:cs="Times New Roman"/>
          <w:color w:val="000000"/>
          <w:sz w:val="22"/>
          <w:szCs w:val="22"/>
          <w:shd w:val="clear" w:color="auto" w:fill="FFFFFF"/>
        </w:rPr>
        <w:t> 992 F.2d at 963 (citation omitted). Although none of these five factors controls, the most important is the defendant's reluctance to engage in criminal activity. </w:t>
      </w:r>
      <w:r w:rsidRPr="003B0C72">
        <w:rPr>
          <w:rStyle w:val="Emphasis"/>
          <w:rFonts w:ascii="Times New Roman" w:hAnsi="Times New Roman" w:cs="Times New Roman"/>
          <w:color w:val="000000"/>
          <w:sz w:val="22"/>
          <w:szCs w:val="22"/>
          <w:bdr w:val="none" w:sz="0" w:space="0" w:color="auto" w:frame="1"/>
        </w:rPr>
        <w:t>Id.</w:t>
      </w:r>
    </w:p>
    <w:p w14:paraId="74E0517E" w14:textId="4EE8DBC3" w:rsidR="00266630" w:rsidRPr="003B0C72" w:rsidRDefault="00266630" w:rsidP="00266630">
      <w:pPr>
        <w:pStyle w:val="ListParagraph"/>
        <w:numPr>
          <w:ilvl w:val="1"/>
          <w:numId w:val="3"/>
        </w:numPr>
        <w:spacing w:after="0"/>
        <w:rPr>
          <w:rStyle w:val="Emphasis"/>
          <w:rFonts w:ascii="Times New Roman" w:hAnsi="Times New Roman" w:cs="Times New Roman"/>
          <w:i w:val="0"/>
          <w:iCs w:val="0"/>
          <w:sz w:val="22"/>
          <w:szCs w:val="22"/>
        </w:rPr>
      </w:pPr>
      <w:r w:rsidRPr="003B0C72">
        <w:rPr>
          <w:rStyle w:val="Emphasis"/>
          <w:rFonts w:ascii="Times New Roman" w:hAnsi="Times New Roman" w:cs="Times New Roman"/>
          <w:i w:val="0"/>
          <w:iCs w:val="0"/>
          <w:color w:val="000000"/>
          <w:sz w:val="22"/>
          <w:szCs w:val="22"/>
          <w:bdr w:val="none" w:sz="0" w:space="0" w:color="auto" w:frame="1"/>
        </w:rPr>
        <w:t xml:space="preserve">Overturning </w:t>
      </w:r>
      <w:r w:rsidR="00A7322B" w:rsidRPr="003B0C72">
        <w:rPr>
          <w:rStyle w:val="Emphasis"/>
          <w:rFonts w:ascii="Times New Roman" w:hAnsi="Times New Roman" w:cs="Times New Roman"/>
          <w:i w:val="0"/>
          <w:iCs w:val="0"/>
          <w:color w:val="000000"/>
          <w:sz w:val="22"/>
          <w:szCs w:val="22"/>
          <w:bdr w:val="none" w:sz="0" w:space="0" w:color="auto" w:frame="1"/>
        </w:rPr>
        <w:t>entrapment</w:t>
      </w:r>
    </w:p>
    <w:p w14:paraId="5643ADBE" w14:textId="69B54E1D" w:rsidR="00A7322B" w:rsidRPr="003B0C72" w:rsidRDefault="00A7322B" w:rsidP="00A7322B">
      <w:pPr>
        <w:pStyle w:val="ListParagraph"/>
        <w:numPr>
          <w:ilvl w:val="2"/>
          <w:numId w:val="3"/>
        </w:numPr>
        <w:spacing w:after="0"/>
        <w:rPr>
          <w:rFonts w:ascii="Times New Roman" w:hAnsi="Times New Roman" w:cs="Times New Roman"/>
          <w:sz w:val="22"/>
          <w:szCs w:val="22"/>
        </w:rPr>
      </w:pPr>
      <w:r w:rsidRPr="003B0C72">
        <w:rPr>
          <w:rFonts w:ascii="Times New Roman" w:hAnsi="Times New Roman" w:cs="Times New Roman"/>
          <w:color w:val="000000"/>
          <w:sz w:val="22"/>
          <w:szCs w:val="22"/>
          <w:shd w:val="clear" w:color="auto" w:fill="FFFFFF"/>
        </w:rPr>
        <w:t>Generally, “the issue of whether a defendant has been entrapped is for the jury as part of its function of determining the guilt or innocence of the accused.”</w:t>
      </w:r>
    </w:p>
    <w:p w14:paraId="6B82AF7C" w14:textId="6149D0A6" w:rsidR="00A7322B" w:rsidRPr="003B0C72" w:rsidRDefault="00A7322B" w:rsidP="00A7322B">
      <w:pPr>
        <w:pStyle w:val="ListParagraph"/>
        <w:numPr>
          <w:ilvl w:val="2"/>
          <w:numId w:val="3"/>
        </w:numPr>
        <w:spacing w:after="0"/>
        <w:rPr>
          <w:rFonts w:ascii="Times New Roman" w:hAnsi="Times New Roman" w:cs="Times New Roman"/>
          <w:sz w:val="22"/>
          <w:szCs w:val="22"/>
        </w:rPr>
      </w:pPr>
      <w:r w:rsidRPr="003B0C72">
        <w:rPr>
          <w:rFonts w:ascii="Times New Roman" w:hAnsi="Times New Roman" w:cs="Times New Roman"/>
          <w:color w:val="000000"/>
          <w:sz w:val="22"/>
          <w:szCs w:val="22"/>
          <w:shd w:val="clear" w:color="auto" w:fill="FFFFFF"/>
        </w:rPr>
        <w:t>It is inappropriate for an appellate court to determine whether a defendant was entrapped when such a determination would necessarily entail “choosing between conflicting witnesses” and “judging credibility.” </w:t>
      </w:r>
      <w:r w:rsidRPr="003B0C72">
        <w:rPr>
          <w:rStyle w:val="Emphasis"/>
          <w:rFonts w:ascii="Times New Roman" w:hAnsi="Times New Roman" w:cs="Times New Roman"/>
          <w:color w:val="000000"/>
          <w:sz w:val="22"/>
          <w:szCs w:val="22"/>
          <w:bdr w:val="none" w:sz="0" w:space="0" w:color="auto" w:frame="1"/>
        </w:rPr>
        <w:t>See Sherman,</w:t>
      </w:r>
      <w:r w:rsidRPr="003B0C72">
        <w:rPr>
          <w:rFonts w:ascii="Times New Roman" w:hAnsi="Times New Roman" w:cs="Times New Roman"/>
          <w:color w:val="000000"/>
          <w:sz w:val="22"/>
          <w:szCs w:val="22"/>
          <w:shd w:val="clear" w:color="auto" w:fill="FFFFFF"/>
        </w:rPr>
        <w:t> 356 U.S. at 373, 78 S.Ct. at 821.</w:t>
      </w:r>
    </w:p>
    <w:p w14:paraId="67D663EB" w14:textId="6B80A9DC" w:rsidR="000F1B8F" w:rsidRPr="003B0C72" w:rsidRDefault="000F1B8F" w:rsidP="00A7322B">
      <w:pPr>
        <w:pStyle w:val="ListParagraph"/>
        <w:numPr>
          <w:ilvl w:val="2"/>
          <w:numId w:val="3"/>
        </w:numPr>
        <w:spacing w:after="0"/>
        <w:rPr>
          <w:rFonts w:ascii="Times New Roman" w:hAnsi="Times New Roman" w:cs="Times New Roman"/>
          <w:sz w:val="22"/>
          <w:szCs w:val="22"/>
        </w:rPr>
      </w:pPr>
      <w:r w:rsidRPr="003B0C72">
        <w:rPr>
          <w:rFonts w:ascii="Times New Roman" w:hAnsi="Times New Roman" w:cs="Times New Roman"/>
          <w:color w:val="000000"/>
          <w:sz w:val="22"/>
          <w:szCs w:val="22"/>
          <w:shd w:val="clear" w:color="auto" w:fill="FFFFFF"/>
        </w:rPr>
        <w:t>we should not disturb the jury's finding unless, viewing the evidence in the light most favorable to the government, no reasonable jury could have concluded that the defendants were predisposed to commit the charged offenses. </w:t>
      </w:r>
      <w:r w:rsidRPr="003B0C72">
        <w:rPr>
          <w:rStyle w:val="Emphasis"/>
          <w:rFonts w:ascii="Times New Roman" w:hAnsi="Times New Roman" w:cs="Times New Roman"/>
          <w:color w:val="000000"/>
          <w:sz w:val="22"/>
          <w:szCs w:val="22"/>
          <w:bdr w:val="none" w:sz="0" w:space="0" w:color="auto" w:frame="1"/>
        </w:rPr>
        <w:t>See United States v. Hart,</w:t>
      </w:r>
      <w:r w:rsidRPr="003B0C72">
        <w:rPr>
          <w:rFonts w:ascii="Times New Roman" w:hAnsi="Times New Roman" w:cs="Times New Roman"/>
          <w:color w:val="000000"/>
          <w:sz w:val="22"/>
          <w:szCs w:val="22"/>
          <w:shd w:val="clear" w:color="auto" w:fill="FFFFFF"/>
        </w:rPr>
        <w:t> 963 F.2d 1278, 1283 (9th Cir.1992).</w:t>
      </w:r>
    </w:p>
    <w:p w14:paraId="4201497E" w14:textId="249F17F5" w:rsidR="000F1B8F" w:rsidRPr="003B0C72" w:rsidRDefault="000F1B8F" w:rsidP="00A7322B">
      <w:pPr>
        <w:pStyle w:val="ListParagraph"/>
        <w:numPr>
          <w:ilvl w:val="2"/>
          <w:numId w:val="3"/>
        </w:numPr>
        <w:spacing w:after="0"/>
        <w:rPr>
          <w:rFonts w:ascii="Times New Roman" w:hAnsi="Times New Roman" w:cs="Times New Roman"/>
          <w:sz w:val="22"/>
          <w:szCs w:val="22"/>
        </w:rPr>
      </w:pPr>
      <w:r w:rsidRPr="003B0C72">
        <w:rPr>
          <w:rFonts w:ascii="Times New Roman" w:hAnsi="Times New Roman" w:cs="Times New Roman"/>
          <w:color w:val="000000"/>
          <w:sz w:val="22"/>
          <w:szCs w:val="22"/>
          <w:shd w:val="clear" w:color="auto" w:fill="FFFFFF"/>
        </w:rPr>
        <w:t>In short, to justify an acquittal based on entrapment as a matter of law, there must be undisputed evidence that Davis and Williams were induced to commit crimes by the government and were not predisposed to do so. </w:t>
      </w:r>
      <w:r w:rsidRPr="003B0C72">
        <w:rPr>
          <w:rStyle w:val="Emphasis"/>
          <w:rFonts w:ascii="Times New Roman" w:hAnsi="Times New Roman" w:cs="Times New Roman"/>
          <w:color w:val="000000"/>
          <w:sz w:val="22"/>
          <w:szCs w:val="22"/>
          <w:bdr w:val="none" w:sz="0" w:space="0" w:color="auto" w:frame="1"/>
        </w:rPr>
        <w:t>See Skarie,</w:t>
      </w:r>
      <w:r w:rsidRPr="003B0C72">
        <w:rPr>
          <w:rFonts w:ascii="Times New Roman" w:hAnsi="Times New Roman" w:cs="Times New Roman"/>
          <w:color w:val="000000"/>
          <w:sz w:val="22"/>
          <w:szCs w:val="22"/>
          <w:shd w:val="clear" w:color="auto" w:fill="FFFFFF"/>
        </w:rPr>
        <w:t> 971 F.2d at 320; </w:t>
      </w:r>
      <w:r w:rsidRPr="003B0C72">
        <w:rPr>
          <w:rStyle w:val="Emphasis"/>
          <w:rFonts w:ascii="Times New Roman" w:hAnsi="Times New Roman" w:cs="Times New Roman"/>
          <w:color w:val="000000"/>
          <w:sz w:val="22"/>
          <w:szCs w:val="22"/>
          <w:bdr w:val="none" w:sz="0" w:space="0" w:color="auto" w:frame="1"/>
        </w:rPr>
        <w:t>Hart,</w:t>
      </w:r>
      <w:r w:rsidRPr="003B0C72">
        <w:rPr>
          <w:rFonts w:ascii="Times New Roman" w:hAnsi="Times New Roman" w:cs="Times New Roman"/>
          <w:color w:val="000000"/>
          <w:sz w:val="22"/>
          <w:szCs w:val="22"/>
          <w:shd w:val="clear" w:color="auto" w:fill="FFFFFF"/>
        </w:rPr>
        <w:t> 963 F.2d at 1283; </w:t>
      </w:r>
      <w:r w:rsidRPr="003B0C72">
        <w:rPr>
          <w:rStyle w:val="Emphasis"/>
          <w:rFonts w:ascii="Times New Roman" w:hAnsi="Times New Roman" w:cs="Times New Roman"/>
          <w:color w:val="000000"/>
          <w:sz w:val="22"/>
          <w:szCs w:val="22"/>
          <w:bdr w:val="none" w:sz="0" w:space="0" w:color="auto" w:frame="1"/>
        </w:rPr>
        <w:t>Smith,</w:t>
      </w:r>
      <w:r w:rsidRPr="003B0C72">
        <w:rPr>
          <w:rFonts w:ascii="Times New Roman" w:hAnsi="Times New Roman" w:cs="Times New Roman"/>
          <w:color w:val="000000"/>
          <w:sz w:val="22"/>
          <w:szCs w:val="22"/>
          <w:shd w:val="clear" w:color="auto" w:fill="FFFFFF"/>
        </w:rPr>
        <w:t> 802 F.2d at 1124.</w:t>
      </w:r>
    </w:p>
    <w:p w14:paraId="30EED36E" w14:textId="7E1347C5" w:rsidR="002E46E4" w:rsidRPr="003B0C72" w:rsidRDefault="002E46E4" w:rsidP="002E46E4">
      <w:pPr>
        <w:pStyle w:val="ListParagraph"/>
        <w:numPr>
          <w:ilvl w:val="1"/>
          <w:numId w:val="3"/>
        </w:numPr>
        <w:spacing w:after="0"/>
        <w:rPr>
          <w:rFonts w:ascii="Times New Roman" w:hAnsi="Times New Roman" w:cs="Times New Roman"/>
          <w:sz w:val="22"/>
          <w:szCs w:val="22"/>
        </w:rPr>
      </w:pPr>
      <w:r w:rsidRPr="003B0C72">
        <w:rPr>
          <w:rFonts w:ascii="Times New Roman" w:hAnsi="Times New Roman" w:cs="Times New Roman"/>
          <w:color w:val="000000"/>
          <w:sz w:val="22"/>
          <w:szCs w:val="22"/>
          <w:shd w:val="clear" w:color="auto" w:fill="FFFFFF"/>
        </w:rPr>
        <w:t>Predisposition Facts (lead to “no plain error” conclusion")</w:t>
      </w:r>
    </w:p>
    <w:p w14:paraId="3883DB22" w14:textId="013EC467" w:rsidR="008432FA" w:rsidRPr="003B0C72" w:rsidRDefault="005B5468" w:rsidP="008432FA">
      <w:pPr>
        <w:pStyle w:val="ListParagraph"/>
        <w:numPr>
          <w:ilvl w:val="2"/>
          <w:numId w:val="3"/>
        </w:numPr>
        <w:spacing w:after="0" w:line="240" w:lineRule="auto"/>
        <w:rPr>
          <w:rFonts w:ascii="Times New Roman" w:eastAsia="Times New Roman" w:hAnsi="Times New Roman" w:cs="Times New Roman"/>
          <w:sz w:val="22"/>
          <w:szCs w:val="22"/>
        </w:rPr>
      </w:pPr>
      <w:r w:rsidRPr="003B0C72">
        <w:rPr>
          <w:rFonts w:ascii="Times New Roman" w:eastAsia="Times New Roman" w:hAnsi="Times New Roman" w:cs="Times New Roman"/>
          <w:b/>
          <w:bCs/>
          <w:color w:val="000000"/>
          <w:sz w:val="22"/>
          <w:szCs w:val="22"/>
          <w:shd w:val="clear" w:color="auto" w:fill="FFFFFF"/>
        </w:rPr>
        <w:t>(</w:t>
      </w:r>
      <w:r w:rsidRPr="003B0C72">
        <w:rPr>
          <w:rFonts w:ascii="Times New Roman" w:eastAsia="Times New Roman" w:hAnsi="Times New Roman" w:cs="Times New Roman"/>
          <w:b/>
          <w:bCs/>
          <w:color w:val="000000"/>
          <w:sz w:val="22"/>
          <w:szCs w:val="22"/>
          <w:u w:val="single"/>
          <w:bdr w:val="none" w:sz="0" w:space="0" w:color="auto" w:frame="1"/>
        </w:rPr>
        <w:t>United States v. Davis</w:t>
      </w:r>
      <w:r w:rsidRPr="003B0C72">
        <w:rPr>
          <w:rFonts w:ascii="Times New Roman" w:eastAsia="Times New Roman" w:hAnsi="Times New Roman" w:cs="Times New Roman"/>
          <w:b/>
          <w:bCs/>
          <w:color w:val="000000"/>
          <w:sz w:val="22"/>
          <w:szCs w:val="22"/>
        </w:rPr>
        <w:t>, 36 F.3d 1424, 1432 (9th Cir. 1994)</w:t>
      </w:r>
      <w:r w:rsidRPr="003B0C72">
        <w:rPr>
          <w:rFonts w:ascii="Times New Roman" w:eastAsia="Times New Roman" w:hAnsi="Times New Roman" w:cs="Times New Roman"/>
          <w:color w:val="000000"/>
          <w:sz w:val="22"/>
          <w:szCs w:val="22"/>
        </w:rPr>
        <w:t xml:space="preserve"> </w:t>
      </w:r>
      <w:r w:rsidRPr="003B0C72">
        <w:rPr>
          <w:rFonts w:ascii="Times New Roman" w:eastAsia="Times New Roman" w:hAnsi="Times New Roman" w:cs="Times New Roman"/>
          <w:color w:val="000000"/>
          <w:sz w:val="22"/>
          <w:szCs w:val="22"/>
          <w:shd w:val="clear" w:color="auto" w:fill="FFFFFF"/>
        </w:rPr>
        <w:t xml:space="preserve">Consequently, the jury would have been able to consider all of the same evidence it did in determining predisposition, and this evidence strongly supports a finding that Williams was predisposed. Specifically, the evidence suggested that Williams </w:t>
      </w:r>
      <w:r w:rsidRPr="003B0C72">
        <w:rPr>
          <w:rFonts w:ascii="Times New Roman" w:eastAsia="Times New Roman" w:hAnsi="Times New Roman" w:cs="Times New Roman"/>
          <w:color w:val="000000"/>
          <w:sz w:val="22"/>
          <w:szCs w:val="22"/>
          <w:shd w:val="clear" w:color="auto" w:fill="FFFFFF"/>
        </w:rPr>
        <w:lastRenderedPageBreak/>
        <w:t>sold crack in Las Vegas before he was targeted by Richardson and McConnell. Williams' actions during the transaction belied the contention that he had no experience selling drugs: he asked McConnell for identification and insured that McConnell had the money before summoning Davis to bring the crack. </w:t>
      </w:r>
      <w:r w:rsidRPr="003B0C72">
        <w:rPr>
          <w:rFonts w:ascii="Times New Roman" w:eastAsia="Times New Roman" w:hAnsi="Times New Roman" w:cs="Times New Roman"/>
          <w:i/>
          <w:iCs/>
          <w:color w:val="000000"/>
          <w:sz w:val="22"/>
          <w:szCs w:val="22"/>
          <w:bdr w:val="none" w:sz="0" w:space="0" w:color="auto" w:frame="1"/>
        </w:rPr>
        <w:t>Cf. Citro,</w:t>
      </w:r>
      <w:r w:rsidRPr="003B0C72">
        <w:rPr>
          <w:rFonts w:ascii="Times New Roman" w:eastAsia="Times New Roman" w:hAnsi="Times New Roman" w:cs="Times New Roman"/>
          <w:color w:val="000000"/>
          <w:sz w:val="22"/>
          <w:szCs w:val="22"/>
          <w:shd w:val="clear" w:color="auto" w:fill="FFFFFF"/>
        </w:rPr>
        <w:t> 842 F.2d at 1152 (relying on similar facts in finding the defendant was predisposed). Further, although Williams did not live in Las Vegas, he was able to obtain the crack quickly and with no apparent difficulty. Finally, Williams admitted that he could supply crack on a weekly basis. Thus, the jury would have found Williams to be predisposed even under </w:t>
      </w:r>
      <w:r w:rsidRPr="003B0C72">
        <w:rPr>
          <w:rFonts w:ascii="Times New Roman" w:eastAsia="Times New Roman" w:hAnsi="Times New Roman" w:cs="Times New Roman"/>
          <w:i/>
          <w:iCs/>
          <w:color w:val="000000"/>
          <w:sz w:val="22"/>
          <w:szCs w:val="22"/>
          <w:bdr w:val="none" w:sz="0" w:space="0" w:color="auto" w:frame="1"/>
        </w:rPr>
        <w:t>Jacobson</w:t>
      </w:r>
      <w:r w:rsidRPr="003B0C72">
        <w:rPr>
          <w:rFonts w:ascii="Times New Roman" w:eastAsia="Times New Roman" w:hAnsi="Times New Roman" w:cs="Times New Roman"/>
          <w:color w:val="000000"/>
          <w:sz w:val="22"/>
          <w:szCs w:val="22"/>
          <w:shd w:val="clear" w:color="auto" w:fill="FFFFFF"/>
        </w:rPr>
        <w:t> and would have rejected his entrapment defense. No plain error exists</w:t>
      </w:r>
      <w:r w:rsidR="008432FA" w:rsidRPr="003B0C72">
        <w:rPr>
          <w:rFonts w:ascii="Times New Roman" w:eastAsia="Times New Roman" w:hAnsi="Times New Roman" w:cs="Times New Roman"/>
          <w:color w:val="000000"/>
          <w:sz w:val="22"/>
          <w:szCs w:val="22"/>
          <w:shd w:val="clear" w:color="auto" w:fill="FFFFFF"/>
        </w:rPr>
        <w:t>.</w:t>
      </w:r>
    </w:p>
    <w:p w14:paraId="60016248" w14:textId="407F1959" w:rsidR="00467544" w:rsidRPr="003B0C72" w:rsidRDefault="00467544" w:rsidP="00467544">
      <w:pPr>
        <w:pStyle w:val="Heading2"/>
        <w:numPr>
          <w:ilvl w:val="0"/>
          <w:numId w:val="3"/>
        </w:numPr>
        <w:rPr>
          <w:rFonts w:ascii="Times New Roman" w:hAnsi="Times New Roman" w:cs="Times New Roman"/>
          <w:sz w:val="22"/>
          <w:szCs w:val="22"/>
        </w:rPr>
      </w:pPr>
      <w:r w:rsidRPr="003B0C72">
        <w:rPr>
          <w:rFonts w:ascii="Times New Roman" w:hAnsi="Times New Roman" w:cs="Times New Roman"/>
          <w:sz w:val="22"/>
          <w:szCs w:val="22"/>
        </w:rPr>
        <w:t>United States v. Poehlman, 217 F.3d 692, 698 (9th Cir.2000).</w:t>
      </w:r>
    </w:p>
    <w:p w14:paraId="66FC53A1" w14:textId="22136322" w:rsidR="00467544" w:rsidRPr="003B0C72" w:rsidRDefault="00467544" w:rsidP="00467544">
      <w:pPr>
        <w:pStyle w:val="ListParagraph"/>
        <w:numPr>
          <w:ilvl w:val="1"/>
          <w:numId w:val="3"/>
        </w:numPr>
        <w:rPr>
          <w:rFonts w:ascii="Times New Roman" w:hAnsi="Times New Roman" w:cs="Times New Roman"/>
          <w:sz w:val="22"/>
          <w:szCs w:val="22"/>
        </w:rPr>
      </w:pPr>
      <w:r w:rsidRPr="003B0C72">
        <w:rPr>
          <w:rFonts w:ascii="Times New Roman" w:hAnsi="Times New Roman" w:cs="Times New Roman"/>
          <w:sz w:val="22"/>
          <w:szCs w:val="22"/>
        </w:rPr>
        <w:t xml:space="preserve">Cited in </w:t>
      </w:r>
      <w:r w:rsidR="00995533" w:rsidRPr="003B0C72">
        <w:rPr>
          <w:rFonts w:ascii="Times New Roman" w:hAnsi="Times New Roman" w:cs="Times New Roman"/>
          <w:i/>
          <w:iCs/>
          <w:sz w:val="22"/>
          <w:szCs w:val="22"/>
        </w:rPr>
        <w:t>Jones</w:t>
      </w:r>
      <w:r w:rsidR="00995533" w:rsidRPr="003B0C72">
        <w:rPr>
          <w:rFonts w:ascii="Times New Roman" w:hAnsi="Times New Roman" w:cs="Times New Roman"/>
          <w:sz w:val="22"/>
          <w:szCs w:val="22"/>
        </w:rPr>
        <w:t xml:space="preserve"> (516) for</w:t>
      </w:r>
      <w:r w:rsidR="00F6728C" w:rsidRPr="003B0C72">
        <w:rPr>
          <w:rFonts w:ascii="Times New Roman" w:hAnsi="Times New Roman" w:cs="Times New Roman"/>
          <w:sz w:val="22"/>
          <w:szCs w:val="22"/>
        </w:rPr>
        <w:t xml:space="preserve"> when entrapment defense = </w:t>
      </w:r>
      <w:r w:rsidR="00F64C2C" w:rsidRPr="003B0C72">
        <w:rPr>
          <w:rFonts w:ascii="Times New Roman" w:hAnsi="Times New Roman" w:cs="Times New Roman"/>
          <w:sz w:val="22"/>
          <w:szCs w:val="22"/>
        </w:rPr>
        <w:t xml:space="preserve">submit to jury </w:t>
      </w:r>
      <w:r w:rsidR="00F64C2C" w:rsidRPr="003B0C72">
        <w:rPr>
          <w:rFonts w:ascii="Times New Roman" w:hAnsi="Times New Roman" w:cs="Times New Roman"/>
          <w:sz w:val="22"/>
          <w:szCs w:val="22"/>
        </w:rPr>
        <w:sym w:font="Wingdings" w:char="F0E0"/>
      </w:r>
      <w:r w:rsidR="00F64C2C" w:rsidRPr="003B0C72">
        <w:rPr>
          <w:rFonts w:ascii="Times New Roman" w:hAnsi="Times New Roman" w:cs="Times New Roman"/>
          <w:sz w:val="22"/>
          <w:szCs w:val="22"/>
        </w:rPr>
        <w:t xml:space="preserve"> appellate court disturb jury finding </w:t>
      </w:r>
      <w:r w:rsidR="00F64C2C" w:rsidRPr="003B0C72">
        <w:rPr>
          <w:rFonts w:ascii="Times New Roman" w:hAnsi="Times New Roman" w:cs="Times New Roman"/>
          <w:sz w:val="22"/>
          <w:szCs w:val="22"/>
        </w:rPr>
        <w:sym w:font="Wingdings" w:char="F0E0"/>
      </w:r>
      <w:r w:rsidR="00F64C2C" w:rsidRPr="003B0C72">
        <w:rPr>
          <w:rFonts w:ascii="Times New Roman" w:hAnsi="Times New Roman" w:cs="Times New Roman"/>
          <w:sz w:val="22"/>
          <w:szCs w:val="22"/>
        </w:rPr>
        <w:t xml:space="preserve"> </w:t>
      </w:r>
      <w:r w:rsidR="00F6728C" w:rsidRPr="003B0C72">
        <w:rPr>
          <w:rFonts w:ascii="Times New Roman" w:hAnsi="Times New Roman" w:cs="Times New Roman"/>
          <w:sz w:val="22"/>
          <w:szCs w:val="22"/>
        </w:rPr>
        <w:t>govt disprove elements</w:t>
      </w:r>
    </w:p>
    <w:p w14:paraId="5CCEDC14" w14:textId="7567D281" w:rsidR="00172AF0" w:rsidRPr="003B0C72" w:rsidRDefault="00172AF0" w:rsidP="00172AF0">
      <w:pPr>
        <w:pStyle w:val="Heading2"/>
        <w:numPr>
          <w:ilvl w:val="0"/>
          <w:numId w:val="3"/>
        </w:numPr>
        <w:rPr>
          <w:rFonts w:ascii="Times New Roman" w:hAnsi="Times New Roman" w:cs="Times New Roman"/>
          <w:sz w:val="22"/>
          <w:szCs w:val="22"/>
          <w:shd w:val="clear" w:color="auto" w:fill="FFFFFF"/>
        </w:rPr>
      </w:pPr>
      <w:r w:rsidRPr="003B0C72">
        <w:rPr>
          <w:rStyle w:val="Emphasis"/>
          <w:rFonts w:ascii="Times New Roman" w:hAnsi="Times New Roman" w:cs="Times New Roman"/>
          <w:color w:val="000000"/>
          <w:sz w:val="22"/>
          <w:szCs w:val="22"/>
          <w:bdr w:val="none" w:sz="0" w:space="0" w:color="auto" w:frame="1"/>
        </w:rPr>
        <w:t>United States v. Skarie,</w:t>
      </w:r>
      <w:r w:rsidRPr="003B0C72">
        <w:rPr>
          <w:rFonts w:ascii="Times New Roman" w:hAnsi="Times New Roman" w:cs="Times New Roman"/>
          <w:sz w:val="22"/>
          <w:szCs w:val="22"/>
          <w:shd w:val="clear" w:color="auto" w:fill="FFFFFF"/>
        </w:rPr>
        <w:t> 971 F.2d 317, 320 (9th Cir.1992).</w:t>
      </w:r>
    </w:p>
    <w:p w14:paraId="2B0395DA" w14:textId="5CB21E92" w:rsidR="00172AF0" w:rsidRDefault="00BD4341" w:rsidP="00172AF0">
      <w:pPr>
        <w:pStyle w:val="ListParagraph"/>
        <w:numPr>
          <w:ilvl w:val="1"/>
          <w:numId w:val="3"/>
        </w:numPr>
        <w:rPr>
          <w:rFonts w:ascii="Times New Roman" w:hAnsi="Times New Roman" w:cs="Times New Roman"/>
          <w:sz w:val="22"/>
          <w:szCs w:val="22"/>
        </w:rPr>
      </w:pPr>
      <w:r w:rsidRPr="003B0C72">
        <w:rPr>
          <w:rFonts w:ascii="Times New Roman" w:hAnsi="Times New Roman" w:cs="Times New Roman"/>
          <w:sz w:val="22"/>
          <w:szCs w:val="22"/>
        </w:rPr>
        <w:t xml:space="preserve">Cited in </w:t>
      </w:r>
      <w:r w:rsidRPr="003B0C72">
        <w:rPr>
          <w:rFonts w:ascii="Times New Roman" w:hAnsi="Times New Roman" w:cs="Times New Roman"/>
          <w:i/>
          <w:iCs/>
          <w:sz w:val="22"/>
          <w:szCs w:val="22"/>
        </w:rPr>
        <w:t>Davis</w:t>
      </w:r>
      <w:r w:rsidRPr="003B0C72">
        <w:rPr>
          <w:rFonts w:ascii="Times New Roman" w:hAnsi="Times New Roman" w:cs="Times New Roman"/>
          <w:sz w:val="22"/>
          <w:szCs w:val="22"/>
        </w:rPr>
        <w:t xml:space="preserve"> (1430) for element of entrapment defense </w:t>
      </w:r>
    </w:p>
    <w:p w14:paraId="384BB9E8" w14:textId="09B54733" w:rsidR="00883990" w:rsidRDefault="00594E45" w:rsidP="00172AF0">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Prior</w:t>
      </w:r>
      <w:r w:rsidR="00C17385">
        <w:rPr>
          <w:rFonts w:ascii="Times New Roman" w:hAnsi="Times New Roman" w:cs="Times New Roman"/>
          <w:sz w:val="22"/>
          <w:szCs w:val="22"/>
        </w:rPr>
        <w:t xml:space="preserve"> drug</w:t>
      </w:r>
      <w:r>
        <w:rPr>
          <w:rFonts w:ascii="Times New Roman" w:hAnsi="Times New Roman" w:cs="Times New Roman"/>
          <w:sz w:val="22"/>
          <w:szCs w:val="22"/>
        </w:rPr>
        <w:t xml:space="preserve"> </w:t>
      </w:r>
      <w:r w:rsidR="00C17385">
        <w:rPr>
          <w:rFonts w:ascii="Times New Roman" w:hAnsi="Times New Roman" w:cs="Times New Roman"/>
          <w:sz w:val="22"/>
          <w:szCs w:val="22"/>
        </w:rPr>
        <w:t>c</w:t>
      </w:r>
      <w:r>
        <w:rPr>
          <w:rFonts w:ascii="Times New Roman" w:hAnsi="Times New Roman" w:cs="Times New Roman"/>
          <w:sz w:val="22"/>
          <w:szCs w:val="22"/>
        </w:rPr>
        <w:t xml:space="preserve">onviction ≠ sufficient </w:t>
      </w:r>
      <w:r w:rsidR="00E6227E">
        <w:rPr>
          <w:rFonts w:ascii="Times New Roman" w:hAnsi="Times New Roman" w:cs="Times New Roman"/>
          <w:sz w:val="22"/>
          <w:szCs w:val="22"/>
        </w:rPr>
        <w:t xml:space="preserve">to show predisposition </w:t>
      </w:r>
    </w:p>
    <w:p w14:paraId="0A792554" w14:textId="4DB45615" w:rsidR="00E6227E" w:rsidRDefault="00CE1978" w:rsidP="00F33068">
      <w:pPr>
        <w:pStyle w:val="ListParagraph"/>
        <w:numPr>
          <w:ilvl w:val="2"/>
          <w:numId w:val="3"/>
        </w:numPr>
        <w:rPr>
          <w:rFonts w:ascii="Times New Roman" w:hAnsi="Times New Roman" w:cs="Times New Roman"/>
          <w:sz w:val="22"/>
          <w:szCs w:val="22"/>
        </w:rPr>
      </w:pPr>
      <w:r>
        <w:rPr>
          <w:rFonts w:ascii="Times New Roman" w:hAnsi="Times New Roman" w:cs="Times New Roman"/>
          <w:sz w:val="22"/>
          <w:szCs w:val="22"/>
        </w:rPr>
        <w:t xml:space="preserve">(WL 6) </w:t>
      </w:r>
      <w:r w:rsidR="00E91D18">
        <w:rPr>
          <w:rFonts w:ascii="Times New Roman" w:hAnsi="Times New Roman" w:cs="Times New Roman"/>
          <w:sz w:val="22"/>
          <w:szCs w:val="22"/>
        </w:rPr>
        <w:t xml:space="preserve">Evidence </w:t>
      </w:r>
      <w:r w:rsidR="00332396">
        <w:rPr>
          <w:rFonts w:ascii="Times New Roman" w:hAnsi="Times New Roman" w:cs="Times New Roman"/>
          <w:sz w:val="22"/>
          <w:szCs w:val="22"/>
        </w:rPr>
        <w:t xml:space="preserve">presented by the gov only showed predisposition prior to govt acts intended to </w:t>
      </w:r>
      <w:r w:rsidR="00C34943">
        <w:rPr>
          <w:rFonts w:ascii="Times New Roman" w:hAnsi="Times New Roman" w:cs="Times New Roman"/>
          <w:sz w:val="22"/>
          <w:szCs w:val="22"/>
        </w:rPr>
        <w:t xml:space="preserve">create predisposition </w:t>
      </w:r>
    </w:p>
    <w:p w14:paraId="6BA730F9" w14:textId="70891F2F" w:rsidR="00864151" w:rsidRDefault="00864151" w:rsidP="00A61D5A">
      <w:pPr>
        <w:pStyle w:val="Heading3"/>
        <w:numPr>
          <w:ilvl w:val="0"/>
          <w:numId w:val="3"/>
        </w:numPr>
      </w:pPr>
      <w:r>
        <w:t>United States v. Simas, 937 F.2d 459, 462 (9th Cir. 1991)</w:t>
      </w:r>
    </w:p>
    <w:p w14:paraId="577E47FB" w14:textId="5631E2B7" w:rsidR="00A61D5A" w:rsidRPr="00A61D5A" w:rsidRDefault="00A61D5A" w:rsidP="00A61D5A">
      <w:pPr>
        <w:pStyle w:val="ListParagraph"/>
        <w:numPr>
          <w:ilvl w:val="1"/>
          <w:numId w:val="3"/>
        </w:numPr>
      </w:pPr>
      <w:r>
        <w:t xml:space="preserve">Cited in United States v. Jones for inducement definition </w:t>
      </w:r>
    </w:p>
    <w:p w14:paraId="7EF2645A" w14:textId="1407C35C" w:rsidR="001C326B" w:rsidRPr="003B0C72" w:rsidRDefault="001C326B" w:rsidP="001C326B">
      <w:pPr>
        <w:pStyle w:val="Heading1"/>
        <w:rPr>
          <w:rFonts w:ascii="Times New Roman" w:eastAsia="Times New Roman" w:hAnsi="Times New Roman" w:cs="Times New Roman"/>
          <w:sz w:val="22"/>
          <w:szCs w:val="22"/>
        </w:rPr>
      </w:pPr>
      <w:r w:rsidRPr="003B0C72">
        <w:rPr>
          <w:rFonts w:ascii="Times New Roman" w:eastAsia="Times New Roman" w:hAnsi="Times New Roman" w:cs="Times New Roman"/>
          <w:sz w:val="22"/>
          <w:szCs w:val="22"/>
        </w:rPr>
        <w:t>Supreme Court of the United States</w:t>
      </w:r>
    </w:p>
    <w:p w14:paraId="7A136618" w14:textId="4EBCD681" w:rsidR="008432FA" w:rsidRPr="003B0C72" w:rsidRDefault="005F1EBC" w:rsidP="005F1EBC">
      <w:pPr>
        <w:pStyle w:val="Heading2"/>
        <w:numPr>
          <w:ilvl w:val="0"/>
          <w:numId w:val="3"/>
        </w:numPr>
        <w:rPr>
          <w:rFonts w:ascii="Times New Roman" w:hAnsi="Times New Roman" w:cs="Times New Roman"/>
          <w:sz w:val="22"/>
          <w:szCs w:val="22"/>
        </w:rPr>
      </w:pPr>
      <w:r w:rsidRPr="003B0C72">
        <w:rPr>
          <w:rFonts w:ascii="Times New Roman" w:hAnsi="Times New Roman" w:cs="Times New Roman"/>
          <w:sz w:val="22"/>
          <w:szCs w:val="22"/>
        </w:rPr>
        <w:t>Sherman v. United States, 356 U.S. 369, 377, 78 S.Ct. 819, 2 L.Ed.2d 848 (1958)).</w:t>
      </w:r>
    </w:p>
    <w:p w14:paraId="3D7E03EE" w14:textId="4259EF22" w:rsidR="005F1EBC" w:rsidRPr="003B0C72" w:rsidRDefault="005F1EBC" w:rsidP="005F1EBC">
      <w:pPr>
        <w:pStyle w:val="ListParagraph"/>
        <w:numPr>
          <w:ilvl w:val="1"/>
          <w:numId w:val="3"/>
        </w:numPr>
        <w:rPr>
          <w:rFonts w:ascii="Times New Roman" w:hAnsi="Times New Roman" w:cs="Times New Roman"/>
          <w:sz w:val="22"/>
          <w:szCs w:val="22"/>
        </w:rPr>
      </w:pPr>
      <w:r w:rsidRPr="003B0C72">
        <w:rPr>
          <w:rFonts w:ascii="Times New Roman" w:hAnsi="Times New Roman" w:cs="Times New Roman"/>
          <w:sz w:val="22"/>
          <w:szCs w:val="22"/>
        </w:rPr>
        <w:t xml:space="preserve">Cited in </w:t>
      </w:r>
      <w:r w:rsidRPr="003B0C72">
        <w:rPr>
          <w:rFonts w:ascii="Times New Roman" w:hAnsi="Times New Roman" w:cs="Times New Roman"/>
          <w:i/>
          <w:iCs/>
          <w:sz w:val="22"/>
          <w:szCs w:val="22"/>
        </w:rPr>
        <w:t>Jones</w:t>
      </w:r>
      <w:r w:rsidRPr="003B0C72">
        <w:rPr>
          <w:rFonts w:ascii="Times New Roman" w:hAnsi="Times New Roman" w:cs="Times New Roman"/>
          <w:sz w:val="22"/>
          <w:szCs w:val="22"/>
        </w:rPr>
        <w:t xml:space="preserve"> </w:t>
      </w:r>
      <w:r w:rsidR="001C326B" w:rsidRPr="003B0C72">
        <w:rPr>
          <w:rFonts w:ascii="Times New Roman" w:hAnsi="Times New Roman" w:cs="Times New Roman"/>
          <w:sz w:val="22"/>
          <w:szCs w:val="22"/>
        </w:rPr>
        <w:t>(</w:t>
      </w:r>
      <w:r w:rsidR="00213D04" w:rsidRPr="003B0C72">
        <w:rPr>
          <w:rFonts w:ascii="Times New Roman" w:hAnsi="Times New Roman" w:cs="Times New Roman"/>
          <w:sz w:val="22"/>
          <w:szCs w:val="22"/>
        </w:rPr>
        <w:t xml:space="preserve">516) for </w:t>
      </w:r>
      <w:r w:rsidR="00467544" w:rsidRPr="003B0C72">
        <w:rPr>
          <w:rFonts w:ascii="Times New Roman" w:hAnsi="Times New Roman" w:cs="Times New Roman"/>
          <w:sz w:val="22"/>
          <w:szCs w:val="22"/>
        </w:rPr>
        <w:t>entrapment defense</w:t>
      </w:r>
    </w:p>
    <w:p w14:paraId="0F37BDC7" w14:textId="058C753F" w:rsidR="001A0FB5" w:rsidRPr="003B0C72" w:rsidRDefault="003B0C72" w:rsidP="003B0C72">
      <w:pPr>
        <w:pStyle w:val="Heading2"/>
        <w:numPr>
          <w:ilvl w:val="0"/>
          <w:numId w:val="3"/>
        </w:numPr>
        <w:rPr>
          <w:rFonts w:ascii="Times New Roman" w:hAnsi="Times New Roman" w:cs="Times New Roman"/>
          <w:sz w:val="22"/>
          <w:szCs w:val="22"/>
          <w:shd w:val="clear" w:color="auto" w:fill="FFFFFF"/>
        </w:rPr>
      </w:pPr>
      <w:r w:rsidRPr="003B0C72">
        <w:rPr>
          <w:rFonts w:ascii="Times New Roman" w:hAnsi="Times New Roman" w:cs="Times New Roman"/>
          <w:sz w:val="22"/>
          <w:szCs w:val="22"/>
          <w:u w:val="single"/>
          <w:bdr w:val="none" w:sz="0" w:space="0" w:color="auto" w:frame="1"/>
          <w:shd w:val="clear" w:color="auto" w:fill="FFFFFF"/>
        </w:rPr>
        <w:t>Jacobson v. United States</w:t>
      </w:r>
      <w:r w:rsidRPr="003B0C72">
        <w:rPr>
          <w:rFonts w:ascii="Times New Roman" w:hAnsi="Times New Roman" w:cs="Times New Roman"/>
          <w:sz w:val="22"/>
          <w:szCs w:val="22"/>
          <w:shd w:val="clear" w:color="auto" w:fill="FFFFFF"/>
        </w:rPr>
        <w:t>, 503 U.S. 540, 112 S. Ct. 1535, 118 L. Ed. 2d 174 (1992)</w:t>
      </w:r>
    </w:p>
    <w:p w14:paraId="787AA822" w14:textId="7276CFBB" w:rsidR="003B0C72" w:rsidRPr="003B0C72" w:rsidRDefault="006C4F06" w:rsidP="003B0C72">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 xml:space="preserve">Cited in </w:t>
      </w:r>
      <w:r>
        <w:rPr>
          <w:rFonts w:ascii="Times New Roman" w:hAnsi="Times New Roman" w:cs="Times New Roman"/>
          <w:i/>
          <w:iCs/>
          <w:sz w:val="22"/>
          <w:szCs w:val="22"/>
        </w:rPr>
        <w:t>Jones</w:t>
      </w:r>
      <w:r>
        <w:rPr>
          <w:rFonts w:ascii="Times New Roman" w:hAnsi="Times New Roman" w:cs="Times New Roman"/>
          <w:sz w:val="22"/>
          <w:szCs w:val="22"/>
        </w:rPr>
        <w:t xml:space="preserve"> (516)</w:t>
      </w:r>
      <w:r w:rsidR="001A5065">
        <w:rPr>
          <w:rFonts w:ascii="Times New Roman" w:hAnsi="Times New Roman" w:cs="Times New Roman"/>
          <w:sz w:val="22"/>
          <w:szCs w:val="22"/>
        </w:rPr>
        <w:t xml:space="preserve">; holding </w:t>
      </w:r>
      <w:r w:rsidR="00952C89">
        <w:rPr>
          <w:rFonts w:ascii="Times New Roman" w:hAnsi="Times New Roman" w:cs="Times New Roman"/>
          <w:sz w:val="22"/>
          <w:szCs w:val="22"/>
        </w:rPr>
        <w:t xml:space="preserve">when D provided w/ opportunity to commit crime </w:t>
      </w:r>
      <w:r w:rsidR="00952C89" w:rsidRPr="00952C89">
        <w:rPr>
          <w:rFonts w:ascii="Times New Roman" w:hAnsi="Times New Roman" w:cs="Times New Roman"/>
          <w:sz w:val="22"/>
          <w:szCs w:val="22"/>
        </w:rPr>
        <w:sym w:font="Wingdings" w:char="F0E0"/>
      </w:r>
      <w:r w:rsidR="00952C89">
        <w:rPr>
          <w:rFonts w:ascii="Times New Roman" w:hAnsi="Times New Roman" w:cs="Times New Roman"/>
          <w:sz w:val="22"/>
          <w:szCs w:val="22"/>
        </w:rPr>
        <w:t xml:space="preserve"> entrapment defense = bad b/c </w:t>
      </w:r>
      <w:r w:rsidR="00CA76AC">
        <w:rPr>
          <w:rFonts w:ascii="Times New Roman" w:hAnsi="Times New Roman" w:cs="Times New Roman"/>
          <w:sz w:val="22"/>
          <w:szCs w:val="22"/>
        </w:rPr>
        <w:t xml:space="preserve">commission of criminal act shows D’s </w:t>
      </w:r>
      <w:r w:rsidR="00CA76AC">
        <w:rPr>
          <w:rFonts w:ascii="Times New Roman" w:hAnsi="Times New Roman" w:cs="Times New Roman"/>
          <w:b/>
          <w:bCs/>
          <w:sz w:val="22"/>
          <w:szCs w:val="22"/>
        </w:rPr>
        <w:t>predisposition</w:t>
      </w:r>
    </w:p>
    <w:p w14:paraId="7AADD2F4" w14:textId="77777777" w:rsidR="00162D04" w:rsidRPr="00162D04" w:rsidRDefault="00162D04" w:rsidP="00162D04">
      <w:pPr>
        <w:rPr>
          <w:rFonts w:ascii="Times New Roman" w:hAnsi="Times New Roman" w:cs="Times New Roman"/>
          <w:sz w:val="22"/>
          <w:szCs w:val="22"/>
        </w:rPr>
      </w:pPr>
    </w:p>
    <w:p w14:paraId="7E70F6E6" w14:textId="77777777" w:rsidR="005F1EBC" w:rsidRPr="003B0C72" w:rsidRDefault="005F1EBC" w:rsidP="005F1EBC">
      <w:pPr>
        <w:rPr>
          <w:rFonts w:ascii="Times New Roman" w:hAnsi="Times New Roman" w:cs="Times New Roman"/>
          <w:sz w:val="22"/>
          <w:szCs w:val="22"/>
        </w:rPr>
      </w:pPr>
    </w:p>
    <w:p w14:paraId="4D57D328" w14:textId="14860E2D" w:rsidR="005B5468" w:rsidRPr="003B0C72" w:rsidRDefault="005B5468" w:rsidP="005B5468">
      <w:pPr>
        <w:pStyle w:val="ListParagraph"/>
        <w:shd w:val="clear" w:color="auto" w:fill="FFFFFF"/>
        <w:spacing w:after="0" w:line="240" w:lineRule="auto"/>
        <w:ind w:left="2160"/>
        <w:textAlignment w:val="baseline"/>
        <w:rPr>
          <w:rFonts w:ascii="Times New Roman" w:eastAsia="Times New Roman" w:hAnsi="Times New Roman" w:cs="Times New Roman"/>
          <w:color w:val="000000"/>
          <w:sz w:val="22"/>
          <w:szCs w:val="22"/>
        </w:rPr>
      </w:pPr>
    </w:p>
    <w:p w14:paraId="17B90B2F" w14:textId="01C205FA" w:rsidR="002E46E4" w:rsidRPr="003B0C72" w:rsidRDefault="002E46E4" w:rsidP="005B5468">
      <w:pPr>
        <w:pStyle w:val="ListParagraph"/>
        <w:spacing w:after="0" w:line="240" w:lineRule="auto"/>
        <w:ind w:left="1080"/>
        <w:rPr>
          <w:rFonts w:ascii="Times New Roman" w:hAnsi="Times New Roman" w:cs="Times New Roman"/>
          <w:sz w:val="22"/>
          <w:szCs w:val="22"/>
        </w:rPr>
      </w:pPr>
    </w:p>
    <w:p w14:paraId="3B34D386" w14:textId="77777777" w:rsidR="00997604" w:rsidRPr="003B0C72" w:rsidRDefault="00997604" w:rsidP="00997604">
      <w:pPr>
        <w:rPr>
          <w:rFonts w:ascii="Times New Roman" w:hAnsi="Times New Roman" w:cs="Times New Roman"/>
          <w:sz w:val="22"/>
          <w:szCs w:val="22"/>
        </w:rPr>
      </w:pPr>
    </w:p>
    <w:sectPr w:rsidR="00997604" w:rsidRPr="003B0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71CF9"/>
    <w:multiLevelType w:val="hybridMultilevel"/>
    <w:tmpl w:val="4CF27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172A4"/>
    <w:multiLevelType w:val="hybridMultilevel"/>
    <w:tmpl w:val="B7C20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90014D"/>
    <w:multiLevelType w:val="hybridMultilevel"/>
    <w:tmpl w:val="2C786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04"/>
    <w:rsid w:val="00012FBF"/>
    <w:rsid w:val="00051AC1"/>
    <w:rsid w:val="00061B16"/>
    <w:rsid w:val="00073C41"/>
    <w:rsid w:val="00077FB2"/>
    <w:rsid w:val="00084589"/>
    <w:rsid w:val="000A6117"/>
    <w:rsid w:val="000B5D07"/>
    <w:rsid w:val="000C1D73"/>
    <w:rsid w:val="000C51FD"/>
    <w:rsid w:val="000F1B8F"/>
    <w:rsid w:val="000F2D21"/>
    <w:rsid w:val="00100D83"/>
    <w:rsid w:val="001164C4"/>
    <w:rsid w:val="00120A63"/>
    <w:rsid w:val="00130C9D"/>
    <w:rsid w:val="00147194"/>
    <w:rsid w:val="00154447"/>
    <w:rsid w:val="00162D04"/>
    <w:rsid w:val="00172AF0"/>
    <w:rsid w:val="00177192"/>
    <w:rsid w:val="001802C2"/>
    <w:rsid w:val="0018048F"/>
    <w:rsid w:val="00186873"/>
    <w:rsid w:val="00196C19"/>
    <w:rsid w:val="00197F5E"/>
    <w:rsid w:val="001A0FB5"/>
    <w:rsid w:val="001A5065"/>
    <w:rsid w:val="001A6C16"/>
    <w:rsid w:val="001B6A76"/>
    <w:rsid w:val="001B6FA1"/>
    <w:rsid w:val="001C2D5E"/>
    <w:rsid w:val="001C326B"/>
    <w:rsid w:val="001D0921"/>
    <w:rsid w:val="001D0E5A"/>
    <w:rsid w:val="001D3C28"/>
    <w:rsid w:val="001E2E43"/>
    <w:rsid w:val="001F6F07"/>
    <w:rsid w:val="00213D04"/>
    <w:rsid w:val="00223FA7"/>
    <w:rsid w:val="00227478"/>
    <w:rsid w:val="002315D7"/>
    <w:rsid w:val="00234C6C"/>
    <w:rsid w:val="002421C5"/>
    <w:rsid w:val="002501B0"/>
    <w:rsid w:val="00253516"/>
    <w:rsid w:val="002559C1"/>
    <w:rsid w:val="00266630"/>
    <w:rsid w:val="00266892"/>
    <w:rsid w:val="002672E5"/>
    <w:rsid w:val="00270298"/>
    <w:rsid w:val="00271BAF"/>
    <w:rsid w:val="00271F04"/>
    <w:rsid w:val="002821FC"/>
    <w:rsid w:val="00293D3A"/>
    <w:rsid w:val="002A74E2"/>
    <w:rsid w:val="002D1C63"/>
    <w:rsid w:val="002D3985"/>
    <w:rsid w:val="002D5CC8"/>
    <w:rsid w:val="002E46E4"/>
    <w:rsid w:val="002E6D83"/>
    <w:rsid w:val="002F0427"/>
    <w:rsid w:val="00300E37"/>
    <w:rsid w:val="00317E72"/>
    <w:rsid w:val="00332396"/>
    <w:rsid w:val="0033527C"/>
    <w:rsid w:val="00336FDC"/>
    <w:rsid w:val="003544BE"/>
    <w:rsid w:val="00362880"/>
    <w:rsid w:val="00363C5D"/>
    <w:rsid w:val="003669A6"/>
    <w:rsid w:val="00387291"/>
    <w:rsid w:val="003973C4"/>
    <w:rsid w:val="003B0C72"/>
    <w:rsid w:val="003B306E"/>
    <w:rsid w:val="003B7BD4"/>
    <w:rsid w:val="003C134A"/>
    <w:rsid w:val="003C29CF"/>
    <w:rsid w:val="003E77D6"/>
    <w:rsid w:val="003E78A1"/>
    <w:rsid w:val="003F1550"/>
    <w:rsid w:val="00407F05"/>
    <w:rsid w:val="004145E4"/>
    <w:rsid w:val="00433869"/>
    <w:rsid w:val="004400E6"/>
    <w:rsid w:val="00450E06"/>
    <w:rsid w:val="00467544"/>
    <w:rsid w:val="004743F4"/>
    <w:rsid w:val="00475022"/>
    <w:rsid w:val="00493272"/>
    <w:rsid w:val="00493FA9"/>
    <w:rsid w:val="00496B9C"/>
    <w:rsid w:val="004D1A65"/>
    <w:rsid w:val="004E7456"/>
    <w:rsid w:val="004F4182"/>
    <w:rsid w:val="004F4926"/>
    <w:rsid w:val="00505521"/>
    <w:rsid w:val="005072FE"/>
    <w:rsid w:val="00536723"/>
    <w:rsid w:val="00542BA8"/>
    <w:rsid w:val="0054597C"/>
    <w:rsid w:val="005618DF"/>
    <w:rsid w:val="00594E45"/>
    <w:rsid w:val="005B1BE7"/>
    <w:rsid w:val="005B4D08"/>
    <w:rsid w:val="005B5468"/>
    <w:rsid w:val="005C3218"/>
    <w:rsid w:val="005C3DE6"/>
    <w:rsid w:val="005E3DBA"/>
    <w:rsid w:val="005F1EBC"/>
    <w:rsid w:val="005F3635"/>
    <w:rsid w:val="006056CC"/>
    <w:rsid w:val="0060699A"/>
    <w:rsid w:val="00610260"/>
    <w:rsid w:val="006153B9"/>
    <w:rsid w:val="00617AA9"/>
    <w:rsid w:val="006206CF"/>
    <w:rsid w:val="00634766"/>
    <w:rsid w:val="00654BC6"/>
    <w:rsid w:val="00670BCD"/>
    <w:rsid w:val="006724ED"/>
    <w:rsid w:val="00682EE1"/>
    <w:rsid w:val="006834CF"/>
    <w:rsid w:val="006A4943"/>
    <w:rsid w:val="006C4F06"/>
    <w:rsid w:val="006E060A"/>
    <w:rsid w:val="006F3662"/>
    <w:rsid w:val="006F390C"/>
    <w:rsid w:val="007140D3"/>
    <w:rsid w:val="0072145D"/>
    <w:rsid w:val="00725420"/>
    <w:rsid w:val="00732181"/>
    <w:rsid w:val="00742290"/>
    <w:rsid w:val="0075778C"/>
    <w:rsid w:val="00766355"/>
    <w:rsid w:val="007762A2"/>
    <w:rsid w:val="0078073A"/>
    <w:rsid w:val="007833F7"/>
    <w:rsid w:val="0078354C"/>
    <w:rsid w:val="00784EAA"/>
    <w:rsid w:val="0079106B"/>
    <w:rsid w:val="00794E81"/>
    <w:rsid w:val="0079762D"/>
    <w:rsid w:val="007A11F6"/>
    <w:rsid w:val="007A69DB"/>
    <w:rsid w:val="007B5018"/>
    <w:rsid w:val="007F6C48"/>
    <w:rsid w:val="00804E54"/>
    <w:rsid w:val="00833701"/>
    <w:rsid w:val="008432FA"/>
    <w:rsid w:val="008456B6"/>
    <w:rsid w:val="008516F1"/>
    <w:rsid w:val="008554CF"/>
    <w:rsid w:val="00857518"/>
    <w:rsid w:val="00864151"/>
    <w:rsid w:val="00864542"/>
    <w:rsid w:val="00870259"/>
    <w:rsid w:val="00870DA1"/>
    <w:rsid w:val="00871BED"/>
    <w:rsid w:val="0088089C"/>
    <w:rsid w:val="00883990"/>
    <w:rsid w:val="008A69A7"/>
    <w:rsid w:val="008A771A"/>
    <w:rsid w:val="008B2B84"/>
    <w:rsid w:val="008D60CE"/>
    <w:rsid w:val="008E34F7"/>
    <w:rsid w:val="008F480E"/>
    <w:rsid w:val="00907B8A"/>
    <w:rsid w:val="00920791"/>
    <w:rsid w:val="00920F7F"/>
    <w:rsid w:val="00944F86"/>
    <w:rsid w:val="00952C89"/>
    <w:rsid w:val="009727AE"/>
    <w:rsid w:val="009728B0"/>
    <w:rsid w:val="00975459"/>
    <w:rsid w:val="00995533"/>
    <w:rsid w:val="00997604"/>
    <w:rsid w:val="009A3B30"/>
    <w:rsid w:val="009A7CF4"/>
    <w:rsid w:val="009B70A8"/>
    <w:rsid w:val="009C0AA5"/>
    <w:rsid w:val="009C14F3"/>
    <w:rsid w:val="009C20B2"/>
    <w:rsid w:val="009C4672"/>
    <w:rsid w:val="009C5525"/>
    <w:rsid w:val="009C56FF"/>
    <w:rsid w:val="009C69FE"/>
    <w:rsid w:val="009D00DD"/>
    <w:rsid w:val="009D5F54"/>
    <w:rsid w:val="009E0D41"/>
    <w:rsid w:val="009E2F73"/>
    <w:rsid w:val="009E514C"/>
    <w:rsid w:val="00A05989"/>
    <w:rsid w:val="00A064B1"/>
    <w:rsid w:val="00A207F9"/>
    <w:rsid w:val="00A21927"/>
    <w:rsid w:val="00A250D8"/>
    <w:rsid w:val="00A264AB"/>
    <w:rsid w:val="00A272B5"/>
    <w:rsid w:val="00A30FAF"/>
    <w:rsid w:val="00A45A8D"/>
    <w:rsid w:val="00A50148"/>
    <w:rsid w:val="00A51051"/>
    <w:rsid w:val="00A51E6D"/>
    <w:rsid w:val="00A61D5A"/>
    <w:rsid w:val="00A63E4E"/>
    <w:rsid w:val="00A72437"/>
    <w:rsid w:val="00A7322B"/>
    <w:rsid w:val="00A80DE9"/>
    <w:rsid w:val="00A87053"/>
    <w:rsid w:val="00A935C5"/>
    <w:rsid w:val="00AA001C"/>
    <w:rsid w:val="00AB16C4"/>
    <w:rsid w:val="00AC2024"/>
    <w:rsid w:val="00AC6258"/>
    <w:rsid w:val="00AC7EC9"/>
    <w:rsid w:val="00AD2A11"/>
    <w:rsid w:val="00AE12EA"/>
    <w:rsid w:val="00AE5315"/>
    <w:rsid w:val="00B0615E"/>
    <w:rsid w:val="00B12187"/>
    <w:rsid w:val="00B135E6"/>
    <w:rsid w:val="00B178D7"/>
    <w:rsid w:val="00B212BF"/>
    <w:rsid w:val="00B25A59"/>
    <w:rsid w:val="00B453A1"/>
    <w:rsid w:val="00B548BF"/>
    <w:rsid w:val="00B579F8"/>
    <w:rsid w:val="00B603AB"/>
    <w:rsid w:val="00B60B90"/>
    <w:rsid w:val="00B8576B"/>
    <w:rsid w:val="00BA0BAE"/>
    <w:rsid w:val="00BB5288"/>
    <w:rsid w:val="00BD2672"/>
    <w:rsid w:val="00BD4341"/>
    <w:rsid w:val="00BD455B"/>
    <w:rsid w:val="00BE384B"/>
    <w:rsid w:val="00BE4667"/>
    <w:rsid w:val="00BF44FC"/>
    <w:rsid w:val="00BF7EC6"/>
    <w:rsid w:val="00C0415A"/>
    <w:rsid w:val="00C123DE"/>
    <w:rsid w:val="00C16C63"/>
    <w:rsid w:val="00C17385"/>
    <w:rsid w:val="00C21ADF"/>
    <w:rsid w:val="00C32A33"/>
    <w:rsid w:val="00C34943"/>
    <w:rsid w:val="00C6034F"/>
    <w:rsid w:val="00C64355"/>
    <w:rsid w:val="00C64372"/>
    <w:rsid w:val="00C76C91"/>
    <w:rsid w:val="00C777DF"/>
    <w:rsid w:val="00C83746"/>
    <w:rsid w:val="00C962F6"/>
    <w:rsid w:val="00CA76A2"/>
    <w:rsid w:val="00CA76AC"/>
    <w:rsid w:val="00CB25B9"/>
    <w:rsid w:val="00CB2F67"/>
    <w:rsid w:val="00CB5669"/>
    <w:rsid w:val="00CB6676"/>
    <w:rsid w:val="00CD24DD"/>
    <w:rsid w:val="00CD5AD4"/>
    <w:rsid w:val="00CE1978"/>
    <w:rsid w:val="00CE794B"/>
    <w:rsid w:val="00CF2915"/>
    <w:rsid w:val="00CF2ADF"/>
    <w:rsid w:val="00D076DC"/>
    <w:rsid w:val="00D3432F"/>
    <w:rsid w:val="00D44575"/>
    <w:rsid w:val="00D80A0C"/>
    <w:rsid w:val="00DB37CB"/>
    <w:rsid w:val="00DB43D6"/>
    <w:rsid w:val="00DB4B46"/>
    <w:rsid w:val="00DC32CA"/>
    <w:rsid w:val="00DC7138"/>
    <w:rsid w:val="00DC720E"/>
    <w:rsid w:val="00DD298D"/>
    <w:rsid w:val="00DF03CB"/>
    <w:rsid w:val="00E12016"/>
    <w:rsid w:val="00E15ACD"/>
    <w:rsid w:val="00E22B2D"/>
    <w:rsid w:val="00E27C34"/>
    <w:rsid w:val="00E30E0E"/>
    <w:rsid w:val="00E319F7"/>
    <w:rsid w:val="00E35DBD"/>
    <w:rsid w:val="00E42118"/>
    <w:rsid w:val="00E43ABC"/>
    <w:rsid w:val="00E466AA"/>
    <w:rsid w:val="00E50E9F"/>
    <w:rsid w:val="00E5176F"/>
    <w:rsid w:val="00E6227E"/>
    <w:rsid w:val="00E8297E"/>
    <w:rsid w:val="00E91D18"/>
    <w:rsid w:val="00E92664"/>
    <w:rsid w:val="00E94DFD"/>
    <w:rsid w:val="00EA3033"/>
    <w:rsid w:val="00EA68EA"/>
    <w:rsid w:val="00EA6DF9"/>
    <w:rsid w:val="00EA7660"/>
    <w:rsid w:val="00EB0917"/>
    <w:rsid w:val="00EB27E9"/>
    <w:rsid w:val="00ED0B3B"/>
    <w:rsid w:val="00EE02AF"/>
    <w:rsid w:val="00EE4275"/>
    <w:rsid w:val="00EE7F42"/>
    <w:rsid w:val="00F212A3"/>
    <w:rsid w:val="00F24300"/>
    <w:rsid w:val="00F3018C"/>
    <w:rsid w:val="00F31D7C"/>
    <w:rsid w:val="00F3245D"/>
    <w:rsid w:val="00F33068"/>
    <w:rsid w:val="00F36288"/>
    <w:rsid w:val="00F40239"/>
    <w:rsid w:val="00F42152"/>
    <w:rsid w:val="00F64C2C"/>
    <w:rsid w:val="00F6728C"/>
    <w:rsid w:val="00F76F7B"/>
    <w:rsid w:val="00F77D02"/>
    <w:rsid w:val="00F82E82"/>
    <w:rsid w:val="00F867F5"/>
    <w:rsid w:val="00F91BED"/>
    <w:rsid w:val="00FA263D"/>
    <w:rsid w:val="00FB2867"/>
    <w:rsid w:val="00FC54DF"/>
    <w:rsid w:val="00FD01BD"/>
    <w:rsid w:val="00FD4989"/>
    <w:rsid w:val="00FE6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FFDE"/>
  <w15:chartTrackingRefBased/>
  <w15:docId w15:val="{469298A9-0F64-4808-9819-36E9BA3CA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Calibri"/>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B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415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604"/>
    <w:pPr>
      <w:ind w:left="720"/>
      <w:contextualSpacing/>
    </w:pPr>
  </w:style>
  <w:style w:type="character" w:customStyle="1" w:styleId="Heading1Char">
    <w:name w:val="Heading 1 Char"/>
    <w:basedOn w:val="DefaultParagraphFont"/>
    <w:link w:val="Heading1"/>
    <w:uiPriority w:val="9"/>
    <w:rsid w:val="000A611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4F4182"/>
    <w:rPr>
      <w:i/>
      <w:iCs/>
    </w:rPr>
  </w:style>
  <w:style w:type="character" w:styleId="Hyperlink">
    <w:name w:val="Hyperlink"/>
    <w:basedOn w:val="DefaultParagraphFont"/>
    <w:uiPriority w:val="99"/>
    <w:unhideWhenUsed/>
    <w:rsid w:val="004F4182"/>
    <w:rPr>
      <w:color w:val="0000FF"/>
      <w:u w:val="single"/>
    </w:rPr>
  </w:style>
  <w:style w:type="character" w:customStyle="1" w:styleId="Heading2Char">
    <w:name w:val="Heading 2 Char"/>
    <w:basedOn w:val="DefaultParagraphFont"/>
    <w:link w:val="Heading2"/>
    <w:uiPriority w:val="9"/>
    <w:rsid w:val="00907B8A"/>
    <w:rPr>
      <w:rFonts w:asciiTheme="majorHAnsi" w:eastAsiaTheme="majorEastAsia" w:hAnsiTheme="majorHAnsi" w:cstheme="majorBidi"/>
      <w:color w:val="2F5496" w:themeColor="accent1" w:themeShade="BF"/>
      <w:sz w:val="26"/>
      <w:szCs w:val="26"/>
    </w:rPr>
  </w:style>
  <w:style w:type="character" w:customStyle="1" w:styleId="costarpage">
    <w:name w:val="co_starpage"/>
    <w:basedOn w:val="DefaultParagraphFont"/>
    <w:rsid w:val="000F1B8F"/>
  </w:style>
  <w:style w:type="character" w:customStyle="1" w:styleId="Heading3Char">
    <w:name w:val="Heading 3 Char"/>
    <w:basedOn w:val="DefaultParagraphFont"/>
    <w:link w:val="Heading3"/>
    <w:uiPriority w:val="9"/>
    <w:rsid w:val="00864151"/>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8839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859504">
      <w:bodyDiv w:val="1"/>
      <w:marLeft w:val="0"/>
      <w:marRight w:val="0"/>
      <w:marTop w:val="0"/>
      <w:marBottom w:val="0"/>
      <w:divBdr>
        <w:top w:val="none" w:sz="0" w:space="0" w:color="auto"/>
        <w:left w:val="none" w:sz="0" w:space="0" w:color="auto"/>
        <w:bottom w:val="none" w:sz="0" w:space="0" w:color="auto"/>
        <w:right w:val="none" w:sz="0" w:space="0" w:color="auto"/>
      </w:divBdr>
      <w:divsChild>
        <w:div w:id="549808707">
          <w:marLeft w:val="0"/>
          <w:marRight w:val="0"/>
          <w:marTop w:val="0"/>
          <w:marBottom w:val="0"/>
          <w:divBdr>
            <w:top w:val="none" w:sz="0" w:space="0" w:color="auto"/>
            <w:left w:val="none" w:sz="0" w:space="0" w:color="auto"/>
            <w:bottom w:val="none" w:sz="0" w:space="0" w:color="auto"/>
            <w:right w:val="none" w:sz="0" w:space="0" w:color="auto"/>
          </w:divBdr>
        </w:div>
      </w:divsChild>
    </w:div>
    <w:div w:id="633831080">
      <w:bodyDiv w:val="1"/>
      <w:marLeft w:val="0"/>
      <w:marRight w:val="0"/>
      <w:marTop w:val="0"/>
      <w:marBottom w:val="0"/>
      <w:divBdr>
        <w:top w:val="none" w:sz="0" w:space="0" w:color="auto"/>
        <w:left w:val="none" w:sz="0" w:space="0" w:color="auto"/>
        <w:bottom w:val="none" w:sz="0" w:space="0" w:color="auto"/>
        <w:right w:val="none" w:sz="0" w:space="0" w:color="auto"/>
      </w:divBdr>
      <w:divsChild>
        <w:div w:id="930040982">
          <w:marLeft w:val="0"/>
          <w:marRight w:val="0"/>
          <w:marTop w:val="0"/>
          <w:marBottom w:val="0"/>
          <w:divBdr>
            <w:top w:val="none" w:sz="0" w:space="0" w:color="auto"/>
            <w:left w:val="none" w:sz="0" w:space="0" w:color="auto"/>
            <w:bottom w:val="none" w:sz="0" w:space="0" w:color="auto"/>
            <w:right w:val="none" w:sz="0" w:space="0" w:color="auto"/>
          </w:divBdr>
        </w:div>
      </w:divsChild>
    </w:div>
    <w:div w:id="744844629">
      <w:bodyDiv w:val="1"/>
      <w:marLeft w:val="0"/>
      <w:marRight w:val="0"/>
      <w:marTop w:val="0"/>
      <w:marBottom w:val="0"/>
      <w:divBdr>
        <w:top w:val="none" w:sz="0" w:space="0" w:color="auto"/>
        <w:left w:val="none" w:sz="0" w:space="0" w:color="auto"/>
        <w:bottom w:val="none" w:sz="0" w:space="0" w:color="auto"/>
        <w:right w:val="none" w:sz="0" w:space="0" w:color="auto"/>
      </w:divBdr>
      <w:divsChild>
        <w:div w:id="288704972">
          <w:marLeft w:val="0"/>
          <w:marRight w:val="0"/>
          <w:marTop w:val="0"/>
          <w:marBottom w:val="0"/>
          <w:divBdr>
            <w:top w:val="none" w:sz="0" w:space="0" w:color="auto"/>
            <w:left w:val="none" w:sz="0" w:space="0" w:color="auto"/>
            <w:bottom w:val="none" w:sz="0" w:space="0" w:color="auto"/>
            <w:right w:val="none" w:sz="0" w:space="0" w:color="auto"/>
          </w:divBdr>
        </w:div>
      </w:divsChild>
    </w:div>
    <w:div w:id="1793597207">
      <w:bodyDiv w:val="1"/>
      <w:marLeft w:val="0"/>
      <w:marRight w:val="0"/>
      <w:marTop w:val="0"/>
      <w:marBottom w:val="0"/>
      <w:divBdr>
        <w:top w:val="none" w:sz="0" w:space="0" w:color="auto"/>
        <w:left w:val="none" w:sz="0" w:space="0" w:color="auto"/>
        <w:bottom w:val="none" w:sz="0" w:space="0" w:color="auto"/>
        <w:right w:val="none" w:sz="0" w:space="0" w:color="auto"/>
      </w:divBdr>
      <w:divsChild>
        <w:div w:id="645234379">
          <w:marLeft w:val="0"/>
          <w:marRight w:val="0"/>
          <w:marTop w:val="0"/>
          <w:marBottom w:val="0"/>
          <w:divBdr>
            <w:top w:val="none" w:sz="0" w:space="0" w:color="auto"/>
            <w:left w:val="none" w:sz="0" w:space="0" w:color="auto"/>
            <w:bottom w:val="none" w:sz="0" w:space="0" w:color="auto"/>
            <w:right w:val="none" w:sz="0" w:space="0" w:color="auto"/>
          </w:divBdr>
        </w:div>
      </w:divsChild>
    </w:div>
    <w:div w:id="1955361059">
      <w:bodyDiv w:val="1"/>
      <w:marLeft w:val="0"/>
      <w:marRight w:val="0"/>
      <w:marTop w:val="0"/>
      <w:marBottom w:val="0"/>
      <w:divBdr>
        <w:top w:val="none" w:sz="0" w:space="0" w:color="auto"/>
        <w:left w:val="none" w:sz="0" w:space="0" w:color="auto"/>
        <w:bottom w:val="none" w:sz="0" w:space="0" w:color="auto"/>
        <w:right w:val="none" w:sz="0" w:space="0" w:color="auto"/>
      </w:divBdr>
      <w:divsChild>
        <w:div w:id="541676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next.westlaw.com/Link/Document/FullText?findType=Y&amp;serNum=1986151091&amp;pubNum=350&amp;originatingDoc=I5d6e5177799111d9bf29e2067ad74e5b&amp;refType=RP&amp;fi=co_pp_sp_350_1124&amp;originationContext=document&amp;transitionType=DocumentItem&amp;ppcid=2cab8b750acb4ef3a37641f8007f84b2&amp;contextData=(sc.Search)"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35EC03681302C4F90224D35144D7214" ma:contentTypeVersion="4" ma:contentTypeDescription="Create a new document." ma:contentTypeScope="" ma:versionID="40961d2423b1189f3efd5f3b62bf6134">
  <xsd:schema xmlns:xsd="http://www.w3.org/2001/XMLSchema" xmlns:xs="http://www.w3.org/2001/XMLSchema" xmlns:p="http://schemas.microsoft.com/office/2006/metadata/properties" xmlns:ns3="d0f90f49-7e1a-4e18-9342-d1de756de9cc" targetNamespace="http://schemas.microsoft.com/office/2006/metadata/properties" ma:root="true" ma:fieldsID="0aad378051d1252d3b3637f481a05fce" ns3:_="">
    <xsd:import namespace="d0f90f49-7e1a-4e18-9342-d1de756de9c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f90f49-7e1a-4e18-9342-d1de756de9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734299-5DA1-42B7-B382-ADB06E87204B}">
  <ds:schemaRefs>
    <ds:schemaRef ds:uri="http://schemas.microsoft.com/sharepoint/v3/contenttype/forms"/>
  </ds:schemaRefs>
</ds:datastoreItem>
</file>

<file path=customXml/itemProps2.xml><?xml version="1.0" encoding="utf-8"?>
<ds:datastoreItem xmlns:ds="http://schemas.openxmlformats.org/officeDocument/2006/customXml" ds:itemID="{F015B6B6-4799-47EE-AC8C-334A84F48D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f90f49-7e1a-4e18-9342-d1de756de9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CA7D63-0B6B-445D-A66C-3EF5494729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3393</TotalTime>
  <Pages>3</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Carney, Brad-HLSCLINICS</cp:lastModifiedBy>
  <cp:revision>192</cp:revision>
  <dcterms:created xsi:type="dcterms:W3CDTF">2022-01-30T22:16:00Z</dcterms:created>
  <dcterms:modified xsi:type="dcterms:W3CDTF">2022-02-08T11:15:00Z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0x010100D35EC03681302C4F90224D35144D7214</vt:lpwstr>
  </property>
</Properties>
</file>