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26872" w14:textId="59BA947D" w:rsidR="00207AF5" w:rsidRPr="0048536F" w:rsidRDefault="007D504E">
      <w:pPr>
        <w:rPr>
          <w:rFonts w:ascii="Times New Roman" w:hAnsi="Times New Roman" w:cs="Times New Roman"/>
          <w:szCs w:val="24"/>
        </w:rPr>
      </w:pPr>
      <w:r w:rsidRPr="0048536F">
        <w:rPr>
          <w:rFonts w:ascii="Times New Roman" w:hAnsi="Times New Roman" w:cs="Times New Roman"/>
          <w:szCs w:val="24"/>
        </w:rPr>
        <w:t xml:space="preserve">Rule Paragraphs: </w:t>
      </w:r>
    </w:p>
    <w:p w14:paraId="65DF5FB1" w14:textId="03C160C1" w:rsidR="007D504E" w:rsidRPr="0048536F" w:rsidRDefault="007D504E" w:rsidP="007D504E">
      <w:pPr>
        <w:pStyle w:val="Heading2"/>
        <w:rPr>
          <w:rFonts w:ascii="Times New Roman" w:hAnsi="Times New Roman" w:cs="Times New Roman"/>
          <w:sz w:val="24"/>
          <w:szCs w:val="24"/>
        </w:rPr>
      </w:pPr>
      <w:r w:rsidRPr="0048536F">
        <w:rPr>
          <w:rFonts w:ascii="Times New Roman" w:hAnsi="Times New Roman" w:cs="Times New Roman"/>
          <w:sz w:val="24"/>
          <w:szCs w:val="24"/>
        </w:rPr>
        <w:t>Entrapment</w:t>
      </w:r>
    </w:p>
    <w:p w14:paraId="5B2D20BE" w14:textId="18573B74" w:rsidR="0032601C" w:rsidRPr="0032601C" w:rsidRDefault="00483DA5" w:rsidP="0032601C">
      <w:pPr>
        <w:rPr>
          <w:rFonts w:ascii="Times New Roman" w:eastAsia="Times New Roman" w:hAnsi="Times New Roman" w:cs="Times New Roman"/>
          <w:szCs w:val="24"/>
        </w:rPr>
      </w:pPr>
      <w:r w:rsidRPr="0048536F">
        <w:rPr>
          <w:rFonts w:ascii="Times New Roman" w:hAnsi="Times New Roman" w:cs="Times New Roman"/>
          <w:szCs w:val="24"/>
        </w:rPr>
        <w:t>Entrapment is designed to prevent the “unwary innocent” of conviction where</w:t>
      </w:r>
      <w:r w:rsidR="005E2F8E" w:rsidRPr="0048536F">
        <w:rPr>
          <w:rFonts w:ascii="Times New Roman" w:hAnsi="Times New Roman" w:cs="Times New Roman"/>
          <w:szCs w:val="24"/>
        </w:rPr>
        <w:t xml:space="preserve"> a defendant is</w:t>
      </w:r>
      <w:r w:rsidRPr="0048536F">
        <w:rPr>
          <w:rFonts w:ascii="Times New Roman" w:hAnsi="Times New Roman" w:cs="Times New Roman"/>
          <w:szCs w:val="24"/>
        </w:rPr>
        <w:t xml:space="preserve"> induced by government action to commit a crime. </w:t>
      </w:r>
      <w:r w:rsidR="00511C90" w:rsidRPr="0048536F">
        <w:rPr>
          <w:rFonts w:ascii="Times New Roman" w:hAnsi="Times New Roman" w:cs="Times New Roman"/>
          <w:szCs w:val="24"/>
          <w:u w:val="single"/>
        </w:rPr>
        <w:t>United States v. Russell</w:t>
      </w:r>
      <w:r w:rsidR="00511C90" w:rsidRPr="0048536F">
        <w:rPr>
          <w:rFonts w:ascii="Times New Roman" w:hAnsi="Times New Roman" w:cs="Times New Roman"/>
          <w:szCs w:val="24"/>
        </w:rPr>
        <w:t>, 411 U.S. 423, 429 (1973)</w:t>
      </w:r>
      <w:r w:rsidR="00511C90" w:rsidRPr="0048536F">
        <w:rPr>
          <w:rFonts w:ascii="Times New Roman" w:hAnsi="Times New Roman" w:cs="Times New Roman"/>
          <w:szCs w:val="24"/>
        </w:rPr>
        <w:t>.</w:t>
      </w:r>
      <w:r w:rsidRPr="0048536F">
        <w:rPr>
          <w:rFonts w:ascii="Times New Roman" w:hAnsi="Times New Roman" w:cs="Times New Roman"/>
          <w:szCs w:val="24"/>
        </w:rPr>
        <w:t xml:space="preserve"> </w:t>
      </w:r>
      <w:r w:rsidR="00884B09" w:rsidRPr="0048536F">
        <w:rPr>
          <w:rFonts w:ascii="Times New Roman" w:hAnsi="Times New Roman" w:cs="Times New Roman"/>
          <w:szCs w:val="24"/>
        </w:rPr>
        <w:t xml:space="preserve">Entrapment consists of two parts: (1) government inducement of the crime, and (2) the absence of predisposition by the defendant. </w:t>
      </w:r>
      <w:r w:rsidR="00884B09" w:rsidRPr="0048536F">
        <w:rPr>
          <w:rFonts w:ascii="Times New Roman" w:hAnsi="Times New Roman" w:cs="Times New Roman"/>
          <w:szCs w:val="24"/>
        </w:rPr>
        <w:t>There are two elements to the defense of entrapment: (1) government inducement of the crime, and (2) the absence of predisposition on the part of the defendant.</w:t>
      </w:r>
      <w:r w:rsidR="00884B09" w:rsidRPr="0048536F">
        <w:rPr>
          <w:rFonts w:ascii="Times New Roman" w:hAnsi="Times New Roman" w:cs="Times New Roman"/>
          <w:szCs w:val="24"/>
        </w:rPr>
        <w:t xml:space="preserve"> </w:t>
      </w:r>
      <w:r w:rsidR="00884B09" w:rsidRPr="0048536F">
        <w:rPr>
          <w:rFonts w:ascii="Times New Roman" w:hAnsi="Times New Roman" w:cs="Times New Roman"/>
          <w:szCs w:val="24"/>
          <w:u w:val="single"/>
        </w:rPr>
        <w:t>United States v. Davis</w:t>
      </w:r>
      <w:r w:rsidR="00884B09" w:rsidRPr="0048536F">
        <w:rPr>
          <w:rFonts w:ascii="Times New Roman" w:hAnsi="Times New Roman" w:cs="Times New Roman"/>
          <w:szCs w:val="24"/>
        </w:rPr>
        <w:t>, 36 F.3d 1424, 1430 (9th Cir. 1994)</w:t>
      </w:r>
      <w:r w:rsidR="00884B09" w:rsidRPr="0048536F">
        <w:rPr>
          <w:rFonts w:ascii="Times New Roman" w:hAnsi="Times New Roman" w:cs="Times New Roman"/>
          <w:szCs w:val="24"/>
        </w:rPr>
        <w:t xml:space="preserve">(citing </w:t>
      </w:r>
      <w:r w:rsidR="00884B09" w:rsidRPr="0048536F">
        <w:rPr>
          <w:rFonts w:ascii="Times New Roman" w:hAnsi="Times New Roman" w:cs="Times New Roman"/>
          <w:szCs w:val="24"/>
          <w:u w:val="single"/>
        </w:rPr>
        <w:t xml:space="preserve">United States v. </w:t>
      </w:r>
      <w:proofErr w:type="spellStart"/>
      <w:r w:rsidR="00884B09" w:rsidRPr="0048536F">
        <w:rPr>
          <w:rFonts w:ascii="Times New Roman" w:hAnsi="Times New Roman" w:cs="Times New Roman"/>
          <w:szCs w:val="24"/>
          <w:u w:val="single"/>
        </w:rPr>
        <w:t>Skarie</w:t>
      </w:r>
      <w:proofErr w:type="spellEnd"/>
      <w:r w:rsidR="00884B09" w:rsidRPr="0048536F">
        <w:rPr>
          <w:rFonts w:ascii="Times New Roman" w:hAnsi="Times New Roman" w:cs="Times New Roman"/>
          <w:szCs w:val="24"/>
        </w:rPr>
        <w:t>, 971 F.2d 317, 320 (9th Cir.1992)</w:t>
      </w:r>
      <w:r w:rsidR="00884B09" w:rsidRPr="0048536F">
        <w:rPr>
          <w:rFonts w:ascii="Times New Roman" w:hAnsi="Times New Roman" w:cs="Times New Roman"/>
          <w:szCs w:val="24"/>
        </w:rPr>
        <w:t xml:space="preserve">). </w:t>
      </w:r>
      <w:r w:rsidR="008826EB" w:rsidRPr="0048536F">
        <w:rPr>
          <w:rFonts w:ascii="Times New Roman" w:hAnsi="Times New Roman" w:cs="Times New Roman"/>
          <w:szCs w:val="24"/>
        </w:rPr>
        <w:t xml:space="preserve">Once established that the government induced an individual to break the law, then the defense of entrapment is at issue. </w:t>
      </w:r>
      <w:r w:rsidR="008826EB" w:rsidRPr="0048536F">
        <w:rPr>
          <w:rFonts w:ascii="Times New Roman" w:hAnsi="Times New Roman" w:cs="Times New Roman"/>
          <w:szCs w:val="24"/>
          <w:u w:val="single"/>
        </w:rPr>
        <w:t>Id</w:t>
      </w:r>
      <w:r w:rsidR="008826EB" w:rsidRPr="0048536F">
        <w:rPr>
          <w:rFonts w:ascii="Times New Roman" w:hAnsi="Times New Roman" w:cs="Times New Roman"/>
          <w:szCs w:val="24"/>
        </w:rPr>
        <w:t xml:space="preserve">. The government has the burden to prove, beyond a reasonable doubt, that the defendant was predisposed to commit the offense. </w:t>
      </w:r>
      <w:r w:rsidR="008826EB" w:rsidRPr="0048536F">
        <w:rPr>
          <w:rFonts w:ascii="Times New Roman" w:hAnsi="Times New Roman" w:cs="Times New Roman"/>
          <w:szCs w:val="24"/>
          <w:u w:val="single"/>
        </w:rPr>
        <w:t>Id.</w:t>
      </w:r>
      <w:r w:rsidR="008826EB" w:rsidRPr="0048536F">
        <w:rPr>
          <w:rFonts w:ascii="Times New Roman" w:hAnsi="Times New Roman" w:cs="Times New Roman"/>
          <w:szCs w:val="24"/>
        </w:rPr>
        <w:t xml:space="preserve"> The defendant’s predisposition must </w:t>
      </w:r>
      <w:r w:rsidR="002D3328" w:rsidRPr="0048536F">
        <w:rPr>
          <w:rFonts w:ascii="Times New Roman" w:hAnsi="Times New Roman" w:cs="Times New Roman"/>
          <w:szCs w:val="24"/>
        </w:rPr>
        <w:t>be established as existing</w:t>
      </w:r>
      <w:r w:rsidR="008826EB" w:rsidRPr="0048536F">
        <w:rPr>
          <w:rFonts w:ascii="Times New Roman" w:hAnsi="Times New Roman" w:cs="Times New Roman"/>
          <w:szCs w:val="24"/>
        </w:rPr>
        <w:t xml:space="preserve"> prior to being approached by government agents. </w:t>
      </w:r>
      <w:r w:rsidR="008826EB" w:rsidRPr="0048536F">
        <w:rPr>
          <w:rFonts w:ascii="Times New Roman" w:hAnsi="Times New Roman" w:cs="Times New Roman"/>
          <w:szCs w:val="24"/>
          <w:u w:val="single"/>
        </w:rPr>
        <w:t>Id</w:t>
      </w:r>
      <w:r w:rsidR="008826EB" w:rsidRPr="0048536F">
        <w:rPr>
          <w:rFonts w:ascii="Times New Roman" w:hAnsi="Times New Roman" w:cs="Times New Roman"/>
          <w:szCs w:val="24"/>
        </w:rPr>
        <w:t>.</w:t>
      </w:r>
      <w:r w:rsidR="000F6F75">
        <w:rPr>
          <w:rFonts w:ascii="Times New Roman" w:hAnsi="Times New Roman" w:cs="Times New Roman"/>
          <w:szCs w:val="24"/>
        </w:rPr>
        <w:t xml:space="preserve"> </w:t>
      </w:r>
      <w:r w:rsidR="00707210" w:rsidRPr="0048536F">
        <w:rPr>
          <w:rFonts w:ascii="Times New Roman" w:hAnsi="Times New Roman" w:cs="Times New Roman"/>
          <w:szCs w:val="24"/>
        </w:rPr>
        <w:t xml:space="preserve">To establish entrapment as a matter of law, the defendant </w:t>
      </w:r>
      <w:r w:rsidR="005602AB">
        <w:rPr>
          <w:rFonts w:ascii="Times New Roman" w:hAnsi="Times New Roman" w:cs="Times New Roman"/>
          <w:szCs w:val="24"/>
        </w:rPr>
        <w:t xml:space="preserve">must </w:t>
      </w:r>
      <w:r w:rsidR="00FD4355">
        <w:rPr>
          <w:rFonts w:ascii="Times New Roman" w:hAnsi="Times New Roman" w:cs="Times New Roman"/>
          <w:szCs w:val="24"/>
        </w:rPr>
        <w:t>point to</w:t>
      </w:r>
      <w:r w:rsidR="003431D2" w:rsidRPr="0048536F">
        <w:rPr>
          <w:rFonts w:ascii="Times New Roman" w:hAnsi="Times New Roman" w:cs="Times New Roman"/>
          <w:szCs w:val="24"/>
        </w:rPr>
        <w:t xml:space="preserve"> undisputed evidence</w:t>
      </w:r>
      <w:r w:rsidR="00FD4355">
        <w:rPr>
          <w:rFonts w:ascii="Times New Roman" w:hAnsi="Times New Roman" w:cs="Times New Roman"/>
          <w:szCs w:val="24"/>
        </w:rPr>
        <w:t xml:space="preserve"> to show </w:t>
      </w:r>
      <w:r w:rsidR="003431D2" w:rsidRPr="0048536F">
        <w:rPr>
          <w:rFonts w:ascii="Times New Roman" w:hAnsi="Times New Roman" w:cs="Times New Roman"/>
          <w:szCs w:val="24"/>
        </w:rPr>
        <w:t xml:space="preserve">that an otherwise innocent person was induced to commit the illegal act by trickery, persuasion, or fraud of a government agent. </w:t>
      </w:r>
      <w:r w:rsidR="0032601C" w:rsidRPr="0032601C">
        <w:rPr>
          <w:rFonts w:ascii="Times New Roman" w:eastAsia="Times New Roman" w:hAnsi="Times New Roman" w:cs="Times New Roman"/>
          <w:color w:val="000000"/>
          <w:szCs w:val="24"/>
          <w:u w:val="single"/>
          <w:bdr w:val="none" w:sz="0" w:space="0" w:color="auto" w:frame="1"/>
        </w:rPr>
        <w:t>United States v. Smith</w:t>
      </w:r>
      <w:r w:rsidR="0032601C" w:rsidRPr="0032601C">
        <w:rPr>
          <w:rFonts w:ascii="Times New Roman" w:eastAsia="Times New Roman" w:hAnsi="Times New Roman" w:cs="Times New Roman"/>
          <w:color w:val="000000"/>
          <w:szCs w:val="24"/>
        </w:rPr>
        <w:t>, 802 F.2d 1119, 1124 (9th Cir. 1986)</w:t>
      </w:r>
      <w:r w:rsidR="0048536F">
        <w:rPr>
          <w:rFonts w:ascii="Times New Roman" w:eastAsia="Times New Roman" w:hAnsi="Times New Roman" w:cs="Times New Roman"/>
          <w:color w:val="000000"/>
          <w:szCs w:val="24"/>
        </w:rPr>
        <w:t xml:space="preserve">(citing </w:t>
      </w:r>
      <w:r w:rsidR="00D05A32" w:rsidRPr="00D05A32">
        <w:rPr>
          <w:rFonts w:ascii="Times New Roman" w:eastAsia="Times New Roman" w:hAnsi="Times New Roman" w:cs="Times New Roman"/>
          <w:color w:val="000000"/>
          <w:szCs w:val="24"/>
          <w:u w:val="single"/>
        </w:rPr>
        <w:t>United States v. Hsieh Hui Mei Chen</w:t>
      </w:r>
      <w:r w:rsidR="00D05A32" w:rsidRPr="00D05A32">
        <w:rPr>
          <w:rFonts w:ascii="Times New Roman" w:eastAsia="Times New Roman" w:hAnsi="Times New Roman" w:cs="Times New Roman"/>
          <w:color w:val="000000"/>
          <w:szCs w:val="24"/>
        </w:rPr>
        <w:t>, 754 F.2d 817</w:t>
      </w:r>
      <w:r w:rsidR="00C34ECB">
        <w:rPr>
          <w:rFonts w:ascii="Times New Roman" w:eastAsia="Times New Roman" w:hAnsi="Times New Roman" w:cs="Times New Roman"/>
          <w:color w:val="000000"/>
          <w:szCs w:val="24"/>
        </w:rPr>
        <w:t>, 821</w:t>
      </w:r>
      <w:r w:rsidR="00D05A32" w:rsidRPr="00D05A32">
        <w:rPr>
          <w:rFonts w:ascii="Times New Roman" w:eastAsia="Times New Roman" w:hAnsi="Times New Roman" w:cs="Times New Roman"/>
          <w:color w:val="000000"/>
          <w:szCs w:val="24"/>
        </w:rPr>
        <w:t xml:space="preserve"> (9th Cir. 1985</w:t>
      </w:r>
      <w:r w:rsidR="00D05A32">
        <w:rPr>
          <w:rFonts w:ascii="Times New Roman" w:eastAsia="Times New Roman" w:hAnsi="Times New Roman" w:cs="Times New Roman"/>
          <w:color w:val="000000"/>
          <w:szCs w:val="24"/>
        </w:rPr>
        <w:t xml:space="preserve">)). </w:t>
      </w:r>
    </w:p>
    <w:p w14:paraId="71E217F3" w14:textId="6D4DFA34" w:rsidR="00884B09" w:rsidRPr="0048536F" w:rsidRDefault="00884B09" w:rsidP="00884B09">
      <w:pPr>
        <w:rPr>
          <w:rFonts w:ascii="Times New Roman" w:hAnsi="Times New Roman" w:cs="Times New Roman"/>
          <w:szCs w:val="24"/>
        </w:rPr>
      </w:pPr>
    </w:p>
    <w:p w14:paraId="4C8F5480" w14:textId="1853FCB7" w:rsidR="00D64ADE" w:rsidRDefault="00483DA5" w:rsidP="00E45645">
      <w:pPr>
        <w:pStyle w:val="Heading2"/>
      </w:pPr>
      <w:r w:rsidRPr="0048536F">
        <w:t xml:space="preserve">Inducement </w:t>
      </w:r>
    </w:p>
    <w:p w14:paraId="6912B8D7" w14:textId="19046F6B" w:rsidR="005A6D0F" w:rsidRPr="00A4670B" w:rsidRDefault="0033601E" w:rsidP="007078F4">
      <w:pPr>
        <w:rPr>
          <w:rFonts w:ascii="Times New Roman" w:hAnsi="Times New Roman" w:cs="Times New Roman"/>
          <w:szCs w:val="24"/>
        </w:rPr>
      </w:pPr>
      <w:r>
        <w:rPr>
          <w:rFonts w:ascii="Times New Roman" w:hAnsi="Times New Roman" w:cs="Times New Roman"/>
          <w:szCs w:val="24"/>
        </w:rPr>
        <w:t>Inducement</w:t>
      </w:r>
      <w:r w:rsidR="00517055">
        <w:rPr>
          <w:rFonts w:ascii="Times New Roman" w:hAnsi="Times New Roman" w:cs="Times New Roman"/>
          <w:szCs w:val="24"/>
        </w:rPr>
        <w:t xml:space="preserve"> must be done by someone acting for the government.</w:t>
      </w:r>
      <w:r w:rsidR="00B818A2">
        <w:rPr>
          <w:rFonts w:ascii="Times New Roman" w:hAnsi="Times New Roman" w:cs="Times New Roman"/>
          <w:szCs w:val="24"/>
        </w:rPr>
        <w:t xml:space="preserve"> </w:t>
      </w:r>
      <w:r w:rsidR="00B818A2" w:rsidRPr="00B818A2">
        <w:rPr>
          <w:rFonts w:ascii="Times New Roman" w:hAnsi="Times New Roman" w:cs="Times New Roman"/>
          <w:szCs w:val="24"/>
          <w:u w:val="single"/>
        </w:rPr>
        <w:t>Davis</w:t>
      </w:r>
      <w:r w:rsidR="00B818A2" w:rsidRPr="00B818A2">
        <w:rPr>
          <w:rFonts w:ascii="Times New Roman" w:hAnsi="Times New Roman" w:cs="Times New Roman"/>
          <w:szCs w:val="24"/>
        </w:rPr>
        <w:t xml:space="preserve">, 36 F.3d </w:t>
      </w:r>
      <w:r w:rsidR="003F38AD">
        <w:rPr>
          <w:rFonts w:ascii="Times New Roman" w:hAnsi="Times New Roman" w:cs="Times New Roman"/>
          <w:szCs w:val="24"/>
        </w:rPr>
        <w:t>at</w:t>
      </w:r>
      <w:r w:rsidR="00B818A2" w:rsidRPr="00B818A2">
        <w:rPr>
          <w:rFonts w:ascii="Times New Roman" w:hAnsi="Times New Roman" w:cs="Times New Roman"/>
          <w:szCs w:val="24"/>
        </w:rPr>
        <w:t xml:space="preserve"> 1430</w:t>
      </w:r>
      <w:r w:rsidR="003F38AD">
        <w:rPr>
          <w:rFonts w:ascii="Times New Roman" w:hAnsi="Times New Roman" w:cs="Times New Roman"/>
          <w:szCs w:val="24"/>
        </w:rPr>
        <w:t xml:space="preserve">. </w:t>
      </w:r>
      <w:r w:rsidR="00A835CD">
        <w:rPr>
          <w:rFonts w:ascii="Times New Roman" w:hAnsi="Times New Roman" w:cs="Times New Roman"/>
          <w:szCs w:val="24"/>
        </w:rPr>
        <w:t>One is a government agent</w:t>
      </w:r>
      <w:r w:rsidR="000F6F75">
        <w:rPr>
          <w:rFonts w:ascii="Times New Roman" w:hAnsi="Times New Roman" w:cs="Times New Roman"/>
          <w:szCs w:val="24"/>
        </w:rPr>
        <w:t xml:space="preserve"> with government authorization, direction, supervision</w:t>
      </w:r>
      <w:r w:rsidR="008F426A">
        <w:rPr>
          <w:rFonts w:ascii="Times New Roman" w:hAnsi="Times New Roman" w:cs="Times New Roman"/>
          <w:szCs w:val="24"/>
        </w:rPr>
        <w:t>, and awareness</w:t>
      </w:r>
      <w:r w:rsidR="00621672">
        <w:rPr>
          <w:rFonts w:ascii="Times New Roman" w:hAnsi="Times New Roman" w:cs="Times New Roman"/>
          <w:szCs w:val="24"/>
        </w:rPr>
        <w:t xml:space="preserve"> of</w:t>
      </w:r>
      <w:r w:rsidR="008F426A">
        <w:rPr>
          <w:rFonts w:ascii="Times New Roman" w:hAnsi="Times New Roman" w:cs="Times New Roman"/>
          <w:szCs w:val="24"/>
        </w:rPr>
        <w:t xml:space="preserve"> their activities</w:t>
      </w:r>
      <w:r w:rsidR="000F6F75">
        <w:rPr>
          <w:rFonts w:ascii="Times New Roman" w:hAnsi="Times New Roman" w:cs="Times New Roman"/>
          <w:szCs w:val="24"/>
        </w:rPr>
        <w:t>.</w:t>
      </w:r>
      <w:r w:rsidR="00FC0766">
        <w:rPr>
          <w:rFonts w:ascii="Times New Roman" w:hAnsi="Times New Roman" w:cs="Times New Roman"/>
          <w:szCs w:val="24"/>
        </w:rPr>
        <w:t xml:space="preserve"> </w:t>
      </w:r>
      <w:r w:rsidR="00FC0766" w:rsidRPr="00FC0766">
        <w:rPr>
          <w:rFonts w:ascii="Times New Roman" w:hAnsi="Times New Roman" w:cs="Times New Roman"/>
          <w:szCs w:val="24"/>
          <w:u w:val="single"/>
        </w:rPr>
        <w:t>United States v. Jones</w:t>
      </w:r>
      <w:r w:rsidR="00FC0766" w:rsidRPr="00FC0766">
        <w:rPr>
          <w:rFonts w:ascii="Times New Roman" w:hAnsi="Times New Roman" w:cs="Times New Roman"/>
          <w:szCs w:val="24"/>
        </w:rPr>
        <w:t>, 231 F.3d 508</w:t>
      </w:r>
      <w:r w:rsidR="00FC0766">
        <w:rPr>
          <w:rFonts w:ascii="Times New Roman" w:hAnsi="Times New Roman" w:cs="Times New Roman"/>
          <w:szCs w:val="24"/>
        </w:rPr>
        <w:t>, 517</w:t>
      </w:r>
      <w:r w:rsidR="00FC0766" w:rsidRPr="00FC0766">
        <w:rPr>
          <w:rFonts w:ascii="Times New Roman" w:hAnsi="Times New Roman" w:cs="Times New Roman"/>
          <w:szCs w:val="24"/>
        </w:rPr>
        <w:t xml:space="preserve"> (9th Cir. 2000)</w:t>
      </w:r>
      <w:r w:rsidR="00CC1752">
        <w:rPr>
          <w:rFonts w:ascii="Times New Roman" w:hAnsi="Times New Roman" w:cs="Times New Roman"/>
          <w:szCs w:val="24"/>
        </w:rPr>
        <w:t xml:space="preserve">(quoting Ninth Cir. Model Jury Instr. Crim. </w:t>
      </w:r>
      <w:r w:rsidR="00CC1752" w:rsidRPr="00CC1752">
        <w:rPr>
          <w:rFonts w:ascii="Times New Roman" w:hAnsi="Times New Roman" w:cs="Times New Roman"/>
          <w:szCs w:val="24"/>
        </w:rPr>
        <w:t>§</w:t>
      </w:r>
      <w:r w:rsidR="00CC1752">
        <w:rPr>
          <w:rFonts w:ascii="Times New Roman" w:hAnsi="Times New Roman" w:cs="Times New Roman"/>
          <w:szCs w:val="24"/>
        </w:rPr>
        <w:t>6.3 (2000)</w:t>
      </w:r>
      <w:r w:rsidR="00FC0766">
        <w:rPr>
          <w:rFonts w:ascii="Times New Roman" w:hAnsi="Times New Roman" w:cs="Times New Roman"/>
          <w:szCs w:val="24"/>
        </w:rPr>
        <w:t>.</w:t>
      </w:r>
      <w:r w:rsidR="00D20B30">
        <w:rPr>
          <w:rFonts w:ascii="Times New Roman" w:hAnsi="Times New Roman" w:cs="Times New Roman"/>
          <w:szCs w:val="24"/>
        </w:rPr>
        <w:t xml:space="preserve"> </w:t>
      </w:r>
      <w:r w:rsidR="00346EB6">
        <w:rPr>
          <w:rFonts w:ascii="Times New Roman" w:hAnsi="Times New Roman" w:cs="Times New Roman"/>
          <w:szCs w:val="24"/>
        </w:rPr>
        <w:t xml:space="preserve">Factors that determine </w:t>
      </w:r>
      <w:r w:rsidR="007078F4">
        <w:rPr>
          <w:rFonts w:ascii="Times New Roman" w:hAnsi="Times New Roman" w:cs="Times New Roman"/>
          <w:szCs w:val="24"/>
        </w:rPr>
        <w:t xml:space="preserve">one </w:t>
      </w:r>
      <w:r w:rsidR="00346EB6">
        <w:rPr>
          <w:rFonts w:ascii="Times New Roman" w:hAnsi="Times New Roman" w:cs="Times New Roman"/>
          <w:szCs w:val="24"/>
        </w:rPr>
        <w:t xml:space="preserve">is a government agent include </w:t>
      </w:r>
      <w:r w:rsidR="0053197C">
        <w:rPr>
          <w:rFonts w:ascii="Times New Roman" w:hAnsi="Times New Roman" w:cs="Times New Roman"/>
          <w:szCs w:val="24"/>
        </w:rPr>
        <w:t>“</w:t>
      </w:r>
      <w:r w:rsidR="007078F4" w:rsidRPr="007078F4">
        <w:rPr>
          <w:rFonts w:ascii="Times New Roman" w:hAnsi="Times New Roman" w:cs="Times New Roman"/>
          <w:szCs w:val="24"/>
        </w:rPr>
        <w:t xml:space="preserve">the nature of that person's relationship with the government, the purposes for which it was understood that person might act on behalf of the government, the instructions given to that person about the nature and extent of permissible activities, and what the government knew about those activities and permitted or used.” </w:t>
      </w:r>
      <w:r w:rsidR="0012264D">
        <w:rPr>
          <w:rFonts w:ascii="Times New Roman" w:hAnsi="Times New Roman" w:cs="Times New Roman"/>
          <w:szCs w:val="24"/>
          <w:u w:val="single"/>
        </w:rPr>
        <w:t>Id</w:t>
      </w:r>
      <w:r w:rsidR="0012264D">
        <w:rPr>
          <w:rFonts w:ascii="Times New Roman" w:hAnsi="Times New Roman" w:cs="Times New Roman"/>
          <w:szCs w:val="24"/>
        </w:rPr>
        <w:t xml:space="preserve">. (quoting </w:t>
      </w:r>
      <w:r w:rsidR="0012264D" w:rsidRPr="007078F4">
        <w:rPr>
          <w:rFonts w:ascii="Times New Roman" w:hAnsi="Times New Roman" w:cs="Times New Roman"/>
          <w:szCs w:val="24"/>
        </w:rPr>
        <w:t>Ninth Cir. Model Jury Instr. Crim § 6.3</w:t>
      </w:r>
      <w:r w:rsidR="0012264D">
        <w:rPr>
          <w:rFonts w:ascii="Times New Roman" w:hAnsi="Times New Roman" w:cs="Times New Roman"/>
          <w:szCs w:val="24"/>
        </w:rPr>
        <w:t xml:space="preserve">). </w:t>
      </w:r>
      <w:r w:rsidR="008A3089">
        <w:rPr>
          <w:rFonts w:ascii="Times New Roman" w:hAnsi="Times New Roman" w:cs="Times New Roman"/>
          <w:szCs w:val="24"/>
        </w:rPr>
        <w:t xml:space="preserve">Inducement is any government conduct that creates a substantial risk </w:t>
      </w:r>
      <w:r w:rsidR="00C77B43">
        <w:rPr>
          <w:rFonts w:ascii="Times New Roman" w:hAnsi="Times New Roman" w:cs="Times New Roman"/>
          <w:szCs w:val="24"/>
        </w:rPr>
        <w:t>where</w:t>
      </w:r>
      <w:r w:rsidR="008A3089">
        <w:rPr>
          <w:rFonts w:ascii="Times New Roman" w:hAnsi="Times New Roman" w:cs="Times New Roman"/>
          <w:szCs w:val="24"/>
        </w:rPr>
        <w:t xml:space="preserve"> </w:t>
      </w:r>
      <w:r>
        <w:rPr>
          <w:rFonts w:ascii="Times New Roman" w:hAnsi="Times New Roman" w:cs="Times New Roman"/>
          <w:szCs w:val="24"/>
        </w:rPr>
        <w:t>an otherwise law-abiding citizen would commit an offense.</w:t>
      </w:r>
      <w:r w:rsidR="00C77B43">
        <w:rPr>
          <w:rFonts w:ascii="Times New Roman" w:hAnsi="Times New Roman" w:cs="Times New Roman"/>
          <w:szCs w:val="24"/>
        </w:rPr>
        <w:t xml:space="preserve"> </w:t>
      </w:r>
      <w:r w:rsidR="00C77B43">
        <w:rPr>
          <w:rFonts w:ascii="Times New Roman" w:hAnsi="Times New Roman" w:cs="Times New Roman"/>
          <w:szCs w:val="24"/>
          <w:u w:val="single"/>
        </w:rPr>
        <w:t>Id</w:t>
      </w:r>
      <w:r w:rsidR="00C77B43">
        <w:rPr>
          <w:rFonts w:ascii="Times New Roman" w:hAnsi="Times New Roman" w:cs="Times New Roman"/>
          <w:szCs w:val="24"/>
        </w:rPr>
        <w:t xml:space="preserve">. Conduct can include but is not limited </w:t>
      </w:r>
      <w:proofErr w:type="gramStart"/>
      <w:r w:rsidR="00C77B43">
        <w:rPr>
          <w:rFonts w:ascii="Times New Roman" w:hAnsi="Times New Roman" w:cs="Times New Roman"/>
          <w:szCs w:val="24"/>
        </w:rPr>
        <w:t>to:</w:t>
      </w:r>
      <w:proofErr w:type="gramEnd"/>
      <w:r w:rsidR="00C77B43">
        <w:rPr>
          <w:rFonts w:ascii="Times New Roman" w:hAnsi="Times New Roman" w:cs="Times New Roman"/>
          <w:szCs w:val="24"/>
        </w:rPr>
        <w:t xml:space="preserve"> persuasion, fraudulent representations, threats, coercive tactics, harassment, promises of reward, or pleas based on need, sympathy or friendship. </w:t>
      </w:r>
      <w:r w:rsidR="00C77B43">
        <w:rPr>
          <w:rFonts w:ascii="Times New Roman" w:hAnsi="Times New Roman" w:cs="Times New Roman"/>
          <w:szCs w:val="24"/>
          <w:u w:val="single"/>
        </w:rPr>
        <w:t>Id</w:t>
      </w:r>
      <w:r w:rsidR="00C77B43">
        <w:rPr>
          <w:rFonts w:ascii="Times New Roman" w:hAnsi="Times New Roman" w:cs="Times New Roman"/>
          <w:szCs w:val="24"/>
        </w:rPr>
        <w:t xml:space="preserve">. </w:t>
      </w:r>
      <w:r w:rsidR="00D245D7">
        <w:rPr>
          <w:rFonts w:ascii="Times New Roman" w:hAnsi="Times New Roman" w:cs="Times New Roman"/>
          <w:szCs w:val="24"/>
        </w:rPr>
        <w:t xml:space="preserve">Mere suggestions nor the simple offering of an opportunity to commit a crime amount to inducement. </w:t>
      </w:r>
      <w:r w:rsidR="00A348A5">
        <w:rPr>
          <w:rFonts w:ascii="Times New Roman" w:hAnsi="Times New Roman" w:cs="Times New Roman"/>
          <w:szCs w:val="24"/>
          <w:u w:val="single"/>
        </w:rPr>
        <w:t>Jones</w:t>
      </w:r>
      <w:r w:rsidR="00A348A5">
        <w:rPr>
          <w:rFonts w:ascii="Times New Roman" w:hAnsi="Times New Roman" w:cs="Times New Roman"/>
          <w:szCs w:val="24"/>
        </w:rPr>
        <w:t>, 231 F.3rd at 517 (</w:t>
      </w:r>
      <w:r w:rsidR="00D0340F">
        <w:rPr>
          <w:rFonts w:ascii="Times New Roman" w:hAnsi="Times New Roman" w:cs="Times New Roman"/>
          <w:szCs w:val="24"/>
        </w:rPr>
        <w:t xml:space="preserve">citing </w:t>
      </w:r>
      <w:r w:rsidR="00D0340F" w:rsidRPr="00D0340F">
        <w:rPr>
          <w:rFonts w:ascii="Times New Roman" w:hAnsi="Times New Roman" w:cs="Times New Roman"/>
          <w:szCs w:val="24"/>
          <w:u w:val="single"/>
        </w:rPr>
        <w:t>United States v. Simas</w:t>
      </w:r>
      <w:r w:rsidR="00D0340F" w:rsidRPr="00D0340F">
        <w:rPr>
          <w:rFonts w:ascii="Times New Roman" w:hAnsi="Times New Roman" w:cs="Times New Roman"/>
          <w:szCs w:val="24"/>
        </w:rPr>
        <w:t>, 937 F.2d 459, 462 (9th Cir.1991)</w:t>
      </w:r>
      <w:r w:rsidR="00D0340F">
        <w:rPr>
          <w:rFonts w:ascii="Times New Roman" w:hAnsi="Times New Roman" w:cs="Times New Roman"/>
          <w:szCs w:val="24"/>
        </w:rPr>
        <w:t xml:space="preserve">). But </w:t>
      </w:r>
      <w:r w:rsidR="00B9686B">
        <w:rPr>
          <w:rFonts w:ascii="Times New Roman" w:hAnsi="Times New Roman" w:cs="Times New Roman"/>
          <w:szCs w:val="24"/>
        </w:rPr>
        <w:t>where there is repeated and persistent solicitation or persuasion</w:t>
      </w:r>
      <w:r w:rsidR="00A4670B">
        <w:rPr>
          <w:rFonts w:ascii="Times New Roman" w:hAnsi="Times New Roman" w:cs="Times New Roman"/>
          <w:szCs w:val="24"/>
        </w:rPr>
        <w:t xml:space="preserve"> which overcomes the defendant’s reluctance, there is inducement. </w:t>
      </w:r>
      <w:r w:rsidR="00A4670B">
        <w:rPr>
          <w:rFonts w:ascii="Times New Roman" w:hAnsi="Times New Roman" w:cs="Times New Roman"/>
          <w:szCs w:val="24"/>
          <w:u w:val="single"/>
        </w:rPr>
        <w:t>Id</w:t>
      </w:r>
      <w:r w:rsidR="00A4670B">
        <w:rPr>
          <w:rFonts w:ascii="Times New Roman" w:hAnsi="Times New Roman" w:cs="Times New Roman"/>
          <w:szCs w:val="24"/>
        </w:rPr>
        <w:t xml:space="preserve">. </w:t>
      </w:r>
    </w:p>
    <w:p w14:paraId="6251D020" w14:textId="7453DFC6" w:rsidR="00C77B43" w:rsidRDefault="00C77B43" w:rsidP="00E45645">
      <w:pPr>
        <w:pStyle w:val="Heading2"/>
      </w:pPr>
      <w:r>
        <w:t>Predisposition</w:t>
      </w:r>
    </w:p>
    <w:p w14:paraId="630DDBE7" w14:textId="29268178" w:rsidR="00E45645" w:rsidRPr="004F21D6" w:rsidRDefault="001220B8" w:rsidP="00E45645">
      <w:pPr>
        <w:rPr>
          <w:rFonts w:ascii="Times New Roman" w:hAnsi="Times New Roman" w:cs="Times New Roman"/>
          <w:szCs w:val="24"/>
        </w:rPr>
      </w:pPr>
      <w:r>
        <w:rPr>
          <w:rFonts w:ascii="Times New Roman" w:hAnsi="Times New Roman" w:cs="Times New Roman"/>
          <w:szCs w:val="24"/>
        </w:rPr>
        <w:t>When</w:t>
      </w:r>
      <w:r w:rsidR="00D211B2">
        <w:rPr>
          <w:rFonts w:ascii="Times New Roman" w:hAnsi="Times New Roman" w:cs="Times New Roman"/>
          <w:szCs w:val="24"/>
        </w:rPr>
        <w:t xml:space="preserve"> inducement is established, the government must prove beyond a reasonable doubt that the defendant was disposed to commit the crime. </w:t>
      </w:r>
      <w:r w:rsidR="009A7500">
        <w:rPr>
          <w:rFonts w:ascii="Times New Roman" w:hAnsi="Times New Roman" w:cs="Times New Roman"/>
          <w:szCs w:val="24"/>
          <w:u w:val="single"/>
        </w:rPr>
        <w:t>Jones</w:t>
      </w:r>
      <w:r w:rsidR="009A7500">
        <w:rPr>
          <w:rFonts w:ascii="Times New Roman" w:hAnsi="Times New Roman" w:cs="Times New Roman"/>
          <w:szCs w:val="24"/>
        </w:rPr>
        <w:t xml:space="preserve">, 231 F.3rd at 518. </w:t>
      </w:r>
      <w:r w:rsidR="00C76AD7">
        <w:rPr>
          <w:rFonts w:ascii="Times New Roman" w:hAnsi="Times New Roman" w:cs="Times New Roman"/>
          <w:szCs w:val="24"/>
        </w:rPr>
        <w:t xml:space="preserve">Five factors are considered when evaluating predisposition: </w:t>
      </w:r>
      <w:r w:rsidR="00E45645" w:rsidRPr="00E45645">
        <w:rPr>
          <w:rFonts w:ascii="Times New Roman" w:hAnsi="Times New Roman" w:cs="Times New Roman"/>
          <w:szCs w:val="24"/>
        </w:rPr>
        <w:t>(1) the character and reputation of the defendant; (2) whether the government made the initial suggestion of criminal activity; (3) whether the defendant engaged in the activity for profit; (4) whether the defendant showed any reluctance; and (5) the nature of the government's inducement.</w:t>
      </w:r>
      <w:r w:rsidR="00E45645">
        <w:rPr>
          <w:rFonts w:ascii="Times New Roman" w:hAnsi="Times New Roman" w:cs="Times New Roman"/>
          <w:szCs w:val="24"/>
        </w:rPr>
        <w:t xml:space="preserve"> </w:t>
      </w:r>
      <w:r w:rsidR="00E45645">
        <w:rPr>
          <w:rFonts w:ascii="Times New Roman" w:hAnsi="Times New Roman" w:cs="Times New Roman"/>
          <w:szCs w:val="24"/>
          <w:u w:val="single"/>
        </w:rPr>
        <w:t>Id</w:t>
      </w:r>
      <w:r w:rsidR="00E45645">
        <w:rPr>
          <w:rFonts w:ascii="Times New Roman" w:hAnsi="Times New Roman" w:cs="Times New Roman"/>
          <w:szCs w:val="24"/>
        </w:rPr>
        <w:t>. (citing</w:t>
      </w:r>
      <w:r w:rsidR="00E45645" w:rsidRPr="00E45645">
        <w:rPr>
          <w:rFonts w:ascii="Times New Roman" w:hAnsi="Times New Roman" w:cs="Times New Roman"/>
          <w:szCs w:val="24"/>
        </w:rPr>
        <w:t xml:space="preserve"> </w:t>
      </w:r>
      <w:r w:rsidR="00E45645" w:rsidRPr="00E45645">
        <w:rPr>
          <w:rFonts w:ascii="Times New Roman" w:hAnsi="Times New Roman" w:cs="Times New Roman"/>
          <w:szCs w:val="24"/>
          <w:u w:val="single"/>
        </w:rPr>
        <w:t>United States v. Tucker</w:t>
      </w:r>
      <w:r w:rsidR="00E45645" w:rsidRPr="00E45645">
        <w:rPr>
          <w:rFonts w:ascii="Times New Roman" w:hAnsi="Times New Roman" w:cs="Times New Roman"/>
          <w:szCs w:val="24"/>
        </w:rPr>
        <w:t xml:space="preserve">, 133 F.3d 1208, 1217 (9th </w:t>
      </w:r>
      <w:r w:rsidR="00E45645" w:rsidRPr="00E45645">
        <w:rPr>
          <w:rFonts w:ascii="Times New Roman" w:hAnsi="Times New Roman" w:cs="Times New Roman"/>
          <w:szCs w:val="24"/>
        </w:rPr>
        <w:lastRenderedPageBreak/>
        <w:t>Cir.1998)</w:t>
      </w:r>
      <w:r w:rsidR="00E45645">
        <w:rPr>
          <w:rFonts w:ascii="Times New Roman" w:hAnsi="Times New Roman" w:cs="Times New Roman"/>
          <w:szCs w:val="24"/>
        </w:rPr>
        <w:t xml:space="preserve">). </w:t>
      </w:r>
      <w:r w:rsidR="007367C9">
        <w:rPr>
          <w:rFonts w:ascii="Times New Roman" w:hAnsi="Times New Roman" w:cs="Times New Roman"/>
          <w:szCs w:val="24"/>
        </w:rPr>
        <w:t>Although no factor is controlling,</w:t>
      </w:r>
      <w:r w:rsidR="00C857B4">
        <w:rPr>
          <w:rFonts w:ascii="Times New Roman" w:hAnsi="Times New Roman" w:cs="Times New Roman"/>
          <w:szCs w:val="24"/>
        </w:rPr>
        <w:t xml:space="preserve"> the most important factor is the degree to which</w:t>
      </w:r>
      <w:r w:rsidR="007367C9">
        <w:rPr>
          <w:rFonts w:ascii="Times New Roman" w:hAnsi="Times New Roman" w:cs="Times New Roman"/>
          <w:szCs w:val="24"/>
        </w:rPr>
        <w:t xml:space="preserve"> the defendant</w:t>
      </w:r>
      <w:r w:rsidR="00C857B4">
        <w:rPr>
          <w:rFonts w:ascii="Times New Roman" w:hAnsi="Times New Roman" w:cs="Times New Roman"/>
          <w:szCs w:val="24"/>
        </w:rPr>
        <w:t xml:space="preserve"> was </w:t>
      </w:r>
      <w:r w:rsidR="007367C9">
        <w:rPr>
          <w:rFonts w:ascii="Times New Roman" w:hAnsi="Times New Roman" w:cs="Times New Roman"/>
          <w:szCs w:val="24"/>
        </w:rPr>
        <w:t>reluct</w:t>
      </w:r>
      <w:r w:rsidR="00C857B4">
        <w:rPr>
          <w:rFonts w:ascii="Times New Roman" w:hAnsi="Times New Roman" w:cs="Times New Roman"/>
          <w:szCs w:val="24"/>
        </w:rPr>
        <w:t>ant</w:t>
      </w:r>
      <w:r w:rsidR="007367C9">
        <w:rPr>
          <w:rFonts w:ascii="Times New Roman" w:hAnsi="Times New Roman" w:cs="Times New Roman"/>
          <w:szCs w:val="24"/>
        </w:rPr>
        <w:t xml:space="preserve"> to engage</w:t>
      </w:r>
      <w:r w:rsidR="00C857B4">
        <w:rPr>
          <w:rFonts w:ascii="Times New Roman" w:hAnsi="Times New Roman" w:cs="Times New Roman"/>
          <w:szCs w:val="24"/>
        </w:rPr>
        <w:t xml:space="preserve"> in criminal activity. </w:t>
      </w:r>
      <w:r w:rsidR="004F21D6">
        <w:rPr>
          <w:rFonts w:ascii="Times New Roman" w:hAnsi="Times New Roman" w:cs="Times New Roman"/>
          <w:szCs w:val="24"/>
          <w:u w:val="single"/>
        </w:rPr>
        <w:t>Smith</w:t>
      </w:r>
      <w:r w:rsidR="004F21D6">
        <w:rPr>
          <w:rFonts w:ascii="Times New Roman" w:hAnsi="Times New Roman" w:cs="Times New Roman"/>
          <w:szCs w:val="24"/>
        </w:rPr>
        <w:t>, 802 F.2d at 1124-25</w:t>
      </w:r>
      <w:r w:rsidR="00B903FA">
        <w:rPr>
          <w:rFonts w:ascii="Times New Roman" w:hAnsi="Times New Roman" w:cs="Times New Roman"/>
          <w:szCs w:val="24"/>
        </w:rPr>
        <w:t xml:space="preserve"> (citing </w:t>
      </w:r>
      <w:r w:rsidR="00B903FA">
        <w:rPr>
          <w:rFonts w:ascii="Times New Roman" w:hAnsi="Times New Roman" w:cs="Times New Roman"/>
          <w:szCs w:val="24"/>
          <w:u w:val="single"/>
        </w:rPr>
        <w:t>United States v. Busby</w:t>
      </w:r>
      <w:r w:rsidR="00B903FA">
        <w:rPr>
          <w:rFonts w:ascii="Times New Roman" w:hAnsi="Times New Roman" w:cs="Times New Roman"/>
          <w:szCs w:val="24"/>
        </w:rPr>
        <w:t>, 780 F.2d 804, 807 (9th Cir. 1986))</w:t>
      </w:r>
      <w:r w:rsidR="004F21D6">
        <w:rPr>
          <w:rFonts w:ascii="Times New Roman" w:hAnsi="Times New Roman" w:cs="Times New Roman"/>
          <w:szCs w:val="24"/>
        </w:rPr>
        <w:t xml:space="preserve">. </w:t>
      </w:r>
      <w:r w:rsidR="00B903FA">
        <w:rPr>
          <w:rFonts w:ascii="Times New Roman" w:hAnsi="Times New Roman" w:cs="Times New Roman"/>
          <w:szCs w:val="24"/>
        </w:rPr>
        <w:t xml:space="preserve">If the defendant is predisposed to </w:t>
      </w:r>
      <w:r w:rsidR="00504B65">
        <w:rPr>
          <w:rFonts w:ascii="Times New Roman" w:hAnsi="Times New Roman" w:cs="Times New Roman"/>
          <w:szCs w:val="24"/>
        </w:rPr>
        <w:t>commit the</w:t>
      </w:r>
      <w:r w:rsidR="00B903FA">
        <w:rPr>
          <w:rFonts w:ascii="Times New Roman" w:hAnsi="Times New Roman" w:cs="Times New Roman"/>
          <w:szCs w:val="24"/>
        </w:rPr>
        <w:t xml:space="preserve"> crime, th</w:t>
      </w:r>
      <w:r w:rsidR="00BF5B7A">
        <w:rPr>
          <w:rFonts w:ascii="Times New Roman" w:hAnsi="Times New Roman" w:cs="Times New Roman"/>
          <w:szCs w:val="24"/>
        </w:rPr>
        <w:t xml:space="preserve">en the entrapment defense is unavailable. </w:t>
      </w:r>
      <w:r w:rsidR="00BF5B7A">
        <w:rPr>
          <w:rFonts w:ascii="Times New Roman" w:hAnsi="Times New Roman" w:cs="Times New Roman"/>
          <w:szCs w:val="24"/>
          <w:u w:val="single"/>
        </w:rPr>
        <w:t>Id</w:t>
      </w:r>
      <w:r w:rsidR="00BF5B7A">
        <w:rPr>
          <w:rFonts w:ascii="Times New Roman" w:hAnsi="Times New Roman" w:cs="Times New Roman"/>
          <w:szCs w:val="24"/>
        </w:rPr>
        <w:t>. (</w:t>
      </w:r>
      <w:r w:rsidR="00504B65">
        <w:rPr>
          <w:rFonts w:ascii="Times New Roman" w:hAnsi="Times New Roman" w:cs="Times New Roman"/>
          <w:szCs w:val="24"/>
        </w:rPr>
        <w:t xml:space="preserve">citing </w:t>
      </w:r>
      <w:r w:rsidR="00504B65">
        <w:rPr>
          <w:rFonts w:ascii="Times New Roman" w:hAnsi="Times New Roman" w:cs="Times New Roman"/>
          <w:szCs w:val="24"/>
          <w:u w:val="single"/>
        </w:rPr>
        <w:t>Hampton v. United States</w:t>
      </w:r>
      <w:r w:rsidR="00504B65">
        <w:rPr>
          <w:rFonts w:ascii="Times New Roman" w:hAnsi="Times New Roman" w:cs="Times New Roman"/>
          <w:szCs w:val="24"/>
        </w:rPr>
        <w:t>, 425 U.S. 4</w:t>
      </w:r>
      <w:r w:rsidR="00F10D6A">
        <w:rPr>
          <w:rFonts w:ascii="Times New Roman" w:hAnsi="Times New Roman" w:cs="Times New Roman"/>
          <w:szCs w:val="24"/>
        </w:rPr>
        <w:t>84, 488-89 (1976))</w:t>
      </w:r>
      <w:proofErr w:type="gramStart"/>
      <w:r w:rsidR="00F10D6A">
        <w:rPr>
          <w:rFonts w:ascii="Times New Roman" w:hAnsi="Times New Roman" w:cs="Times New Roman"/>
          <w:szCs w:val="24"/>
        </w:rPr>
        <w:t xml:space="preserve">. </w:t>
      </w:r>
      <w:r w:rsidR="00BF5B7A">
        <w:rPr>
          <w:rFonts w:ascii="Times New Roman" w:hAnsi="Times New Roman" w:cs="Times New Roman"/>
          <w:szCs w:val="24"/>
        </w:rPr>
        <w:t xml:space="preserve"> </w:t>
      </w:r>
      <w:proofErr w:type="gramEnd"/>
    </w:p>
    <w:p w14:paraId="25BA21CF" w14:textId="77777777" w:rsidR="00E45645" w:rsidRPr="00E45645" w:rsidRDefault="00E45645" w:rsidP="00E45645">
      <w:pPr>
        <w:rPr>
          <w:rFonts w:ascii="Times New Roman" w:hAnsi="Times New Roman" w:cs="Times New Roman"/>
          <w:szCs w:val="24"/>
        </w:rPr>
      </w:pPr>
    </w:p>
    <w:p w14:paraId="50BCA551" w14:textId="3457EB34" w:rsidR="00FE2015" w:rsidRPr="009A7500" w:rsidRDefault="00FE2015" w:rsidP="00E45645">
      <w:pPr>
        <w:rPr>
          <w:rFonts w:ascii="Times New Roman" w:hAnsi="Times New Roman" w:cs="Times New Roman"/>
          <w:szCs w:val="24"/>
        </w:rPr>
      </w:pPr>
    </w:p>
    <w:sectPr w:rsidR="00FE2015" w:rsidRPr="009A7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4E"/>
    <w:rsid w:val="000F6F75"/>
    <w:rsid w:val="001220B8"/>
    <w:rsid w:val="0012264D"/>
    <w:rsid w:val="00123018"/>
    <w:rsid w:val="00175D98"/>
    <w:rsid w:val="001D0921"/>
    <w:rsid w:val="00213B87"/>
    <w:rsid w:val="002821FC"/>
    <w:rsid w:val="002D3328"/>
    <w:rsid w:val="00317E72"/>
    <w:rsid w:val="0032601C"/>
    <w:rsid w:val="0033601E"/>
    <w:rsid w:val="003431D2"/>
    <w:rsid w:val="00346EB6"/>
    <w:rsid w:val="003F38AD"/>
    <w:rsid w:val="00483DA5"/>
    <w:rsid w:val="0048536F"/>
    <w:rsid w:val="004F21D6"/>
    <w:rsid w:val="00504B65"/>
    <w:rsid w:val="00511C90"/>
    <w:rsid w:val="00517055"/>
    <w:rsid w:val="0053197C"/>
    <w:rsid w:val="00533346"/>
    <w:rsid w:val="00541C57"/>
    <w:rsid w:val="005602AB"/>
    <w:rsid w:val="005A6D0F"/>
    <w:rsid w:val="005E2F8E"/>
    <w:rsid w:val="00621672"/>
    <w:rsid w:val="00707210"/>
    <w:rsid w:val="007078F4"/>
    <w:rsid w:val="007367C9"/>
    <w:rsid w:val="0076124A"/>
    <w:rsid w:val="007D504E"/>
    <w:rsid w:val="00870259"/>
    <w:rsid w:val="008826EB"/>
    <w:rsid w:val="00884B09"/>
    <w:rsid w:val="008A3089"/>
    <w:rsid w:val="008F426A"/>
    <w:rsid w:val="009663C2"/>
    <w:rsid w:val="009717F5"/>
    <w:rsid w:val="009A7500"/>
    <w:rsid w:val="00A064B1"/>
    <w:rsid w:val="00A348A5"/>
    <w:rsid w:val="00A4670B"/>
    <w:rsid w:val="00A835CD"/>
    <w:rsid w:val="00AB16C4"/>
    <w:rsid w:val="00B135E6"/>
    <w:rsid w:val="00B818A2"/>
    <w:rsid w:val="00B903FA"/>
    <w:rsid w:val="00B9686B"/>
    <w:rsid w:val="00BF5B7A"/>
    <w:rsid w:val="00C0415A"/>
    <w:rsid w:val="00C34ECB"/>
    <w:rsid w:val="00C76AD7"/>
    <w:rsid w:val="00C77B43"/>
    <w:rsid w:val="00C857B4"/>
    <w:rsid w:val="00CA76A2"/>
    <w:rsid w:val="00CC1752"/>
    <w:rsid w:val="00D0340F"/>
    <w:rsid w:val="00D05A32"/>
    <w:rsid w:val="00D20B30"/>
    <w:rsid w:val="00D211B2"/>
    <w:rsid w:val="00D245D7"/>
    <w:rsid w:val="00D64ADE"/>
    <w:rsid w:val="00E43ABC"/>
    <w:rsid w:val="00E45645"/>
    <w:rsid w:val="00EA68EA"/>
    <w:rsid w:val="00F10D6A"/>
    <w:rsid w:val="00F212A3"/>
    <w:rsid w:val="00F91BED"/>
    <w:rsid w:val="00FC0766"/>
    <w:rsid w:val="00FD4355"/>
    <w:rsid w:val="00FE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5E33"/>
  <w15:chartTrackingRefBased/>
  <w15:docId w15:val="{E87480B7-E3ED-4E93-9DC0-1268A8386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Calibri"/>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D50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50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58418">
      <w:bodyDiv w:val="1"/>
      <w:marLeft w:val="0"/>
      <w:marRight w:val="0"/>
      <w:marTop w:val="0"/>
      <w:marBottom w:val="0"/>
      <w:divBdr>
        <w:top w:val="none" w:sz="0" w:space="0" w:color="auto"/>
        <w:left w:val="none" w:sz="0" w:space="0" w:color="auto"/>
        <w:bottom w:val="none" w:sz="0" w:space="0" w:color="auto"/>
        <w:right w:val="none" w:sz="0" w:space="0" w:color="auto"/>
      </w:divBdr>
      <w:divsChild>
        <w:div w:id="231279851">
          <w:marLeft w:val="0"/>
          <w:marRight w:val="0"/>
          <w:marTop w:val="0"/>
          <w:marBottom w:val="0"/>
          <w:divBdr>
            <w:top w:val="none" w:sz="0" w:space="0" w:color="auto"/>
            <w:left w:val="none" w:sz="0" w:space="0" w:color="auto"/>
            <w:bottom w:val="none" w:sz="0" w:space="0" w:color="auto"/>
            <w:right w:val="none" w:sz="0" w:space="0" w:color="auto"/>
          </w:divBdr>
        </w:div>
      </w:divsChild>
    </w:div>
    <w:div w:id="1627783443">
      <w:bodyDiv w:val="1"/>
      <w:marLeft w:val="0"/>
      <w:marRight w:val="0"/>
      <w:marTop w:val="0"/>
      <w:marBottom w:val="0"/>
      <w:divBdr>
        <w:top w:val="none" w:sz="0" w:space="0" w:color="auto"/>
        <w:left w:val="none" w:sz="0" w:space="0" w:color="auto"/>
        <w:bottom w:val="none" w:sz="0" w:space="0" w:color="auto"/>
        <w:right w:val="none" w:sz="0" w:space="0" w:color="auto"/>
      </w:divBdr>
      <w:divsChild>
        <w:div w:id="195001325">
          <w:marLeft w:val="0"/>
          <w:marRight w:val="0"/>
          <w:marTop w:val="0"/>
          <w:marBottom w:val="0"/>
          <w:divBdr>
            <w:top w:val="none" w:sz="0" w:space="0" w:color="auto"/>
            <w:left w:val="none" w:sz="0" w:space="0" w:color="auto"/>
            <w:bottom w:val="none" w:sz="0" w:space="0" w:color="auto"/>
            <w:right w:val="none" w:sz="0" w:space="0" w:color="auto"/>
          </w:divBdr>
        </w:div>
      </w:divsChild>
    </w:div>
    <w:div w:id="1790585437">
      <w:bodyDiv w:val="1"/>
      <w:marLeft w:val="0"/>
      <w:marRight w:val="0"/>
      <w:marTop w:val="0"/>
      <w:marBottom w:val="0"/>
      <w:divBdr>
        <w:top w:val="none" w:sz="0" w:space="0" w:color="auto"/>
        <w:left w:val="none" w:sz="0" w:space="0" w:color="auto"/>
        <w:bottom w:val="none" w:sz="0" w:space="0" w:color="auto"/>
        <w:right w:val="none" w:sz="0" w:space="0" w:color="auto"/>
      </w:divBdr>
      <w:divsChild>
        <w:div w:id="1229851718">
          <w:marLeft w:val="0"/>
          <w:marRight w:val="0"/>
          <w:marTop w:val="0"/>
          <w:marBottom w:val="0"/>
          <w:divBdr>
            <w:top w:val="none" w:sz="0" w:space="0" w:color="auto"/>
            <w:left w:val="none" w:sz="0" w:space="0" w:color="auto"/>
            <w:bottom w:val="none" w:sz="0" w:space="0" w:color="auto"/>
            <w:right w:val="none" w:sz="0" w:space="0" w:color="auto"/>
          </w:divBdr>
        </w:div>
      </w:divsChild>
    </w:div>
    <w:div w:id="1937595401">
      <w:bodyDiv w:val="1"/>
      <w:marLeft w:val="0"/>
      <w:marRight w:val="0"/>
      <w:marTop w:val="0"/>
      <w:marBottom w:val="0"/>
      <w:divBdr>
        <w:top w:val="none" w:sz="0" w:space="0" w:color="auto"/>
        <w:left w:val="none" w:sz="0" w:space="0" w:color="auto"/>
        <w:bottom w:val="none" w:sz="0" w:space="0" w:color="auto"/>
        <w:right w:val="none" w:sz="0" w:space="0" w:color="auto"/>
      </w:divBdr>
      <w:divsChild>
        <w:div w:id="1374501408">
          <w:marLeft w:val="0"/>
          <w:marRight w:val="0"/>
          <w:marTop w:val="0"/>
          <w:marBottom w:val="0"/>
          <w:divBdr>
            <w:top w:val="none" w:sz="0" w:space="0" w:color="auto"/>
            <w:left w:val="none" w:sz="0" w:space="0" w:color="auto"/>
            <w:bottom w:val="none" w:sz="0" w:space="0" w:color="auto"/>
            <w:right w:val="none" w:sz="0" w:space="0" w:color="auto"/>
          </w:divBdr>
        </w:div>
      </w:divsChild>
    </w:div>
    <w:div w:id="1944990420">
      <w:bodyDiv w:val="1"/>
      <w:marLeft w:val="0"/>
      <w:marRight w:val="0"/>
      <w:marTop w:val="0"/>
      <w:marBottom w:val="0"/>
      <w:divBdr>
        <w:top w:val="none" w:sz="0" w:space="0" w:color="auto"/>
        <w:left w:val="none" w:sz="0" w:space="0" w:color="auto"/>
        <w:bottom w:val="none" w:sz="0" w:space="0" w:color="auto"/>
        <w:right w:val="none" w:sz="0" w:space="0" w:color="auto"/>
      </w:divBdr>
      <w:divsChild>
        <w:div w:id="1959290880">
          <w:marLeft w:val="0"/>
          <w:marRight w:val="0"/>
          <w:marTop w:val="0"/>
          <w:marBottom w:val="0"/>
          <w:divBdr>
            <w:top w:val="none" w:sz="0" w:space="0" w:color="auto"/>
            <w:left w:val="none" w:sz="0" w:space="0" w:color="auto"/>
            <w:bottom w:val="none" w:sz="0" w:space="0" w:color="auto"/>
            <w:right w:val="none" w:sz="0" w:space="0" w:color="auto"/>
          </w:divBdr>
        </w:div>
      </w:divsChild>
    </w:div>
    <w:div w:id="2079744616">
      <w:bodyDiv w:val="1"/>
      <w:marLeft w:val="0"/>
      <w:marRight w:val="0"/>
      <w:marTop w:val="0"/>
      <w:marBottom w:val="0"/>
      <w:divBdr>
        <w:top w:val="none" w:sz="0" w:space="0" w:color="auto"/>
        <w:left w:val="none" w:sz="0" w:space="0" w:color="auto"/>
        <w:bottom w:val="none" w:sz="0" w:space="0" w:color="auto"/>
        <w:right w:val="none" w:sz="0" w:space="0" w:color="auto"/>
      </w:divBdr>
      <w:divsChild>
        <w:div w:id="603001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Brad</cp:lastModifiedBy>
  <cp:revision>55</cp:revision>
  <dcterms:created xsi:type="dcterms:W3CDTF">2022-02-08T08:23:00Z</dcterms:created>
  <dcterms:modified xsi:type="dcterms:W3CDTF">2022-02-08T10:17:00Z</dcterms:modified>
</cp:coreProperties>
</file>