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0.png" ContentType="image/png"/>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Add about 2-3 pages here. Across the whole manuscript, you should cite at least 20 peer reviewed articles.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2"/>
      </w:pPr>
      <w:bookmarkStart w:id="26" w:name="computational"/>
      <w:bookmarkEnd w:id="26"/>
      <w:r>
        <w:t xml:space="preserve">Computational</w:t>
      </w:r>
    </w:p>
    <w:p>
      <w:pPr>
        <w:pStyle w:val="FirstParagraph"/>
      </w:pPr>
      <w:r>
        <w:t xml:space="preserve">These are the methods you used to do your bioinformatic analyses analyses. Should probably be between 0.5 and 1 pages. At a very minimum should include citations for DADA2 and phyloseq if you are doing an amplicon study, or other citations as appropriate.</w:t>
      </w:r>
    </w:p>
    <w:p>
      <w:pPr>
        <w:pStyle w:val="Heading3"/>
      </w:pPr>
      <w:bookmarkStart w:id="27" w:name="faecal-collection-and-bacterial-sequencing"/>
      <w:bookmarkEnd w:id="27"/>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on each sample to remove the DNA.</w:t>
      </w:r>
    </w:p>
    <w:p>
      <w:pPr>
        <w:pStyle w:val="Heading1"/>
      </w:pPr>
      <w:bookmarkStart w:id="28" w:name="results"/>
      <w:bookmarkEnd w:id="28"/>
      <w:r>
        <w:t xml:space="preserve">Results</w:t>
      </w:r>
    </w:p>
    <w:p>
      <w:pPr>
        <w:pStyle w:val="Heading2"/>
      </w:pPr>
      <w:bookmarkStart w:id="29" w:name="subsections-are-ok-in-the-results-section-too"/>
      <w:bookmarkEnd w:id="29"/>
      <w:r>
        <w:t xml:space="preserve">Subsections are ok in the results section too</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 The tips of the tree represents samples where each particular taxa occurred. The tree itself represents the maximum likelihood of phylogengy.</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0.1940068  max resid 0.4723949 </w:t>
      </w:r>
      <w:r>
        <w:br w:type="textWrapping"/>
      </w:r>
      <w:r>
        <w:rPr>
          <w:rStyle w:val="VerbatimChar"/>
        </w:rPr>
        <w:t xml:space="preserve">## Run 2 stress 0 </w:t>
      </w:r>
      <w:r>
        <w:br w:type="textWrapping"/>
      </w:r>
      <w:r>
        <w:rPr>
          <w:rStyle w:val="VerbatimChar"/>
        </w:rPr>
        <w:t xml:space="preserve">## ... Procrustes: rmse 0.1951155  max resid 0.4390232 </w:t>
      </w:r>
      <w:r>
        <w:br w:type="textWrapping"/>
      </w:r>
      <w:r>
        <w:rPr>
          <w:rStyle w:val="VerbatimChar"/>
        </w:rPr>
        <w:t xml:space="preserve">## Run 3 stress 0 </w:t>
      </w:r>
      <w:r>
        <w:br w:type="textWrapping"/>
      </w:r>
      <w:r>
        <w:rPr>
          <w:rStyle w:val="VerbatimChar"/>
        </w:rPr>
        <w:t xml:space="preserve">## ... Procrustes: rmse 0.1880591  max resid 0.4094106 </w:t>
      </w:r>
      <w:r>
        <w:br w:type="textWrapping"/>
      </w:r>
      <w:r>
        <w:rPr>
          <w:rStyle w:val="VerbatimChar"/>
        </w:rPr>
        <w:t xml:space="preserve">## Run 4 stress 0 </w:t>
      </w:r>
      <w:r>
        <w:br w:type="textWrapping"/>
      </w:r>
      <w:r>
        <w:rPr>
          <w:rStyle w:val="VerbatimChar"/>
        </w:rPr>
        <w:t xml:space="preserve">## ... Procrustes: rmse 0.1988316  max resid 0.4422262 </w:t>
      </w:r>
      <w:r>
        <w:br w:type="textWrapping"/>
      </w:r>
      <w:r>
        <w:rPr>
          <w:rStyle w:val="VerbatimChar"/>
        </w:rPr>
        <w:t xml:space="preserve">## Run 5 stress 0 </w:t>
      </w:r>
      <w:r>
        <w:br w:type="textWrapping"/>
      </w:r>
      <w:r>
        <w:rPr>
          <w:rStyle w:val="VerbatimChar"/>
        </w:rPr>
        <w:t xml:space="preserve">## ... Procrustes: rmse 0.1995646  max resid 0.5092772 </w:t>
      </w:r>
      <w:r>
        <w:br w:type="textWrapping"/>
      </w:r>
      <w:r>
        <w:rPr>
          <w:rStyle w:val="VerbatimChar"/>
        </w:rPr>
        <w:t xml:space="preserve">## Run 6 stress 0 </w:t>
      </w:r>
      <w:r>
        <w:br w:type="textWrapping"/>
      </w:r>
      <w:r>
        <w:rPr>
          <w:rStyle w:val="VerbatimChar"/>
        </w:rPr>
        <w:t xml:space="preserve">## ... Procrustes: rmse 0.2026663  max resid 0.5014853 </w:t>
      </w:r>
      <w:r>
        <w:br w:type="textWrapping"/>
      </w:r>
      <w:r>
        <w:rPr>
          <w:rStyle w:val="VerbatimChar"/>
        </w:rPr>
        <w:t xml:space="preserve">## Run 7 stress 0 </w:t>
      </w:r>
      <w:r>
        <w:br w:type="textWrapping"/>
      </w:r>
      <w:r>
        <w:rPr>
          <w:rStyle w:val="VerbatimChar"/>
        </w:rPr>
        <w:t xml:space="preserve">## ... Procrustes: rmse 0.2009488  max resid 0.4832425 </w:t>
      </w:r>
      <w:r>
        <w:br w:type="textWrapping"/>
      </w:r>
      <w:r>
        <w:rPr>
          <w:rStyle w:val="VerbatimChar"/>
        </w:rPr>
        <w:t xml:space="preserve">## Run 8 stress 0 </w:t>
      </w:r>
      <w:r>
        <w:br w:type="textWrapping"/>
      </w:r>
      <w:r>
        <w:rPr>
          <w:rStyle w:val="VerbatimChar"/>
        </w:rPr>
        <w:t xml:space="preserve">## ... Procrustes: rmse 0.1941692  max resid 0.4731055 </w:t>
      </w:r>
      <w:r>
        <w:br w:type="textWrapping"/>
      </w:r>
      <w:r>
        <w:rPr>
          <w:rStyle w:val="VerbatimChar"/>
        </w:rPr>
        <w:t xml:space="preserve">## Run 9 stress 0 </w:t>
      </w:r>
      <w:r>
        <w:br w:type="textWrapping"/>
      </w:r>
      <w:r>
        <w:rPr>
          <w:rStyle w:val="VerbatimChar"/>
        </w:rPr>
        <w:t xml:space="preserve">## ... Procrustes: rmse 0.2038076  max resid 0.4787616 </w:t>
      </w:r>
      <w:r>
        <w:br w:type="textWrapping"/>
      </w:r>
      <w:r>
        <w:rPr>
          <w:rStyle w:val="VerbatimChar"/>
        </w:rPr>
        <w:t xml:space="preserve">## Run 10 stress 0 </w:t>
      </w:r>
      <w:r>
        <w:br w:type="textWrapping"/>
      </w:r>
      <w:r>
        <w:rPr>
          <w:rStyle w:val="VerbatimChar"/>
        </w:rPr>
        <w:t xml:space="preserve">## ... Procrustes: rmse 0.2013379  max resid 0.4680738 </w:t>
      </w:r>
      <w:r>
        <w:br w:type="textWrapping"/>
      </w:r>
      <w:r>
        <w:rPr>
          <w:rStyle w:val="VerbatimChar"/>
        </w:rPr>
        <w:t xml:space="preserve">## Run 11 stress 0 </w:t>
      </w:r>
      <w:r>
        <w:br w:type="textWrapping"/>
      </w:r>
      <w:r>
        <w:rPr>
          <w:rStyle w:val="VerbatimChar"/>
        </w:rPr>
        <w:t xml:space="preserve">## ... Procrustes: rmse 0.1998557  max resid 0.5086925 </w:t>
      </w:r>
      <w:r>
        <w:br w:type="textWrapping"/>
      </w:r>
      <w:r>
        <w:rPr>
          <w:rStyle w:val="VerbatimChar"/>
        </w:rPr>
        <w:t xml:space="preserve">## Run 12 stress 0 </w:t>
      </w:r>
      <w:r>
        <w:br w:type="textWrapping"/>
      </w:r>
      <w:r>
        <w:rPr>
          <w:rStyle w:val="VerbatimChar"/>
        </w:rPr>
        <w:t xml:space="preserve">## ... Procrustes: rmse 0.1989023  max resid 0.5079724 </w:t>
      </w:r>
      <w:r>
        <w:br w:type="textWrapping"/>
      </w:r>
      <w:r>
        <w:rPr>
          <w:rStyle w:val="VerbatimChar"/>
        </w:rPr>
        <w:t xml:space="preserve">## Run 13 stress 0 </w:t>
      </w:r>
      <w:r>
        <w:br w:type="textWrapping"/>
      </w:r>
      <w:r>
        <w:rPr>
          <w:rStyle w:val="VerbatimChar"/>
        </w:rPr>
        <w:t xml:space="preserve">## ... Procrustes: rmse 0.2029778  max resid 0.4807022 </w:t>
      </w:r>
      <w:r>
        <w:br w:type="textWrapping"/>
      </w:r>
      <w:r>
        <w:rPr>
          <w:rStyle w:val="VerbatimChar"/>
        </w:rPr>
        <w:t xml:space="preserve">## Run 14 stress 0 </w:t>
      </w:r>
      <w:r>
        <w:br w:type="textWrapping"/>
      </w:r>
      <w:r>
        <w:rPr>
          <w:rStyle w:val="VerbatimChar"/>
        </w:rPr>
        <w:t xml:space="preserve">## ... Procrustes: rmse 0.1966492  max resid 0.4562424 </w:t>
      </w:r>
      <w:r>
        <w:br w:type="textWrapping"/>
      </w:r>
      <w:r>
        <w:rPr>
          <w:rStyle w:val="VerbatimChar"/>
        </w:rPr>
        <w:t xml:space="preserve">## Run 15 stress 0 </w:t>
      </w:r>
      <w:r>
        <w:br w:type="textWrapping"/>
      </w:r>
      <w:r>
        <w:rPr>
          <w:rStyle w:val="VerbatimChar"/>
        </w:rPr>
        <w:t xml:space="preserve">## ... Procrustes: rmse 0.1961134  max resid 0.4885606 </w:t>
      </w:r>
      <w:r>
        <w:br w:type="textWrapping"/>
      </w:r>
      <w:r>
        <w:rPr>
          <w:rStyle w:val="VerbatimChar"/>
        </w:rPr>
        <w:t xml:space="preserve">## Run 16 stress 0 </w:t>
      </w:r>
      <w:r>
        <w:br w:type="textWrapping"/>
      </w:r>
      <w:r>
        <w:rPr>
          <w:rStyle w:val="VerbatimChar"/>
        </w:rPr>
        <w:t xml:space="preserve">## ... Procrustes: rmse 0.1999616  max resid 0.4926407 </w:t>
      </w:r>
      <w:r>
        <w:br w:type="textWrapping"/>
      </w:r>
      <w:r>
        <w:rPr>
          <w:rStyle w:val="VerbatimChar"/>
        </w:rPr>
        <w:t xml:space="preserve">## Run 17 stress 0 </w:t>
      </w:r>
      <w:r>
        <w:br w:type="textWrapping"/>
      </w:r>
      <w:r>
        <w:rPr>
          <w:rStyle w:val="VerbatimChar"/>
        </w:rPr>
        <w:t xml:space="preserve">## ... Procrustes: rmse 0.1961683  max resid 0.4823603 </w:t>
      </w:r>
      <w:r>
        <w:br w:type="textWrapping"/>
      </w:r>
      <w:r>
        <w:rPr>
          <w:rStyle w:val="VerbatimChar"/>
        </w:rPr>
        <w:t xml:space="preserve">## Run 18 stress 0 </w:t>
      </w:r>
      <w:r>
        <w:br w:type="textWrapping"/>
      </w:r>
      <w:r>
        <w:rPr>
          <w:rStyle w:val="VerbatimChar"/>
        </w:rPr>
        <w:t xml:space="preserve">## ... Procrustes: rmse 0.2027476  max resid 0.4737467 </w:t>
      </w:r>
      <w:r>
        <w:br w:type="textWrapping"/>
      </w:r>
      <w:r>
        <w:rPr>
          <w:rStyle w:val="VerbatimChar"/>
        </w:rPr>
        <w:t xml:space="preserve">## Run 19 stress 0 </w:t>
      </w:r>
      <w:r>
        <w:br w:type="textWrapping"/>
      </w:r>
      <w:r>
        <w:rPr>
          <w:rStyle w:val="VerbatimChar"/>
        </w:rPr>
        <w:t xml:space="preserve">## ... Procrustes: rmse 0.196647  max resid 0.4579736 </w:t>
      </w:r>
      <w:r>
        <w:br w:type="textWrapping"/>
      </w:r>
      <w:r>
        <w:rPr>
          <w:rStyle w:val="VerbatimChar"/>
        </w:rPr>
        <w:t xml:space="preserve">## Run 20 stress 0 </w:t>
      </w:r>
      <w:r>
        <w:br w:type="textWrapping"/>
      </w:r>
      <w:r>
        <w:rPr>
          <w:rStyle w:val="VerbatimChar"/>
        </w:rPr>
        <w:t xml:space="preserve">## ... Procrustes: rmse 0.1932841  max resid 0.4716748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BodyText"/>
      </w:pPr>
      <w:r>
        <w:t xml:space="preserve">In addition to a minimum of 5-10 figures/tables (and associated captions), you should include sufficient text in this section to describe what your findings were. Remember that in the results section you just describe what you found, but you don't interpret it - that happens in the discussion. 2-3 pages.</w:t>
      </w:r>
    </w:p>
    <w:p>
      <w:pPr>
        <w:pStyle w:val="Heading1"/>
      </w:pPr>
      <w:bookmarkStart w:id="36" w:name="discussion"/>
      <w:bookmarkEnd w:id="36"/>
      <w:r>
        <w:t xml:space="preserve">Discussion</w:t>
      </w:r>
    </w:p>
    <w:p>
      <w:pPr>
        <w:pStyle w:val="FirstParagraph"/>
      </w:pPr>
      <w:r>
        <w:t xml:space="preserve">Add around 3-4 pages interpreting your results and considering future directions one might take in analyzing these data.</w:t>
      </w:r>
    </w:p>
    <w:p>
      <w:pPr>
        <w:pStyle w:val="Heading1"/>
      </w:pPr>
      <w:bookmarkStart w:id="37" w:name="sources-cited"/>
      <w:bookmarkEnd w:id="37"/>
      <w:r>
        <w:t xml:space="preserve">Sources Cited</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f983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2017-12-05T07:44:59Z</dcterms:created>
  <dcterms:modified xsi:type="dcterms:W3CDTF">2017-12-05T07:44:59Z</dcterms:modified>
</cp:coreProperties>
</file>