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B60" w:rsidRDefault="00662B60" w:rsidP="00662B60">
      <w:pPr>
        <w:pStyle w:val="Title"/>
        <w:jc w:val="center"/>
        <w:rPr>
          <w:u w:val="single"/>
        </w:rPr>
      </w:pPr>
      <w:r w:rsidRPr="00F440E0">
        <w:rPr>
          <w:u w:val="single"/>
        </w:rPr>
        <w:t>High level budget</w:t>
      </w:r>
    </w:p>
    <w:p w:rsidR="004A07B6" w:rsidRPr="004A07B6" w:rsidRDefault="004A07B6" w:rsidP="004A07B6"/>
    <w:p w:rsidR="00CE63D6" w:rsidRPr="00CE63D6" w:rsidRDefault="00CE63D6" w:rsidP="00CE63D6"/>
    <w:p w:rsidR="00F440E0" w:rsidRPr="00F4526E" w:rsidRDefault="00F440E0" w:rsidP="00F4526E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proofErr w:type="spellStart"/>
      <w:r w:rsidRPr="00F4526E">
        <w:rPr>
          <w:rFonts w:asciiTheme="minorHAnsi" w:hAnsiTheme="minorHAnsi" w:cstheme="minorBidi"/>
          <w:color w:val="auto"/>
          <w:sz w:val="22"/>
          <w:szCs w:val="22"/>
        </w:rPr>
        <w:t>LongHorn</w:t>
      </w:r>
      <w:proofErr w:type="spellEnd"/>
      <w:r w:rsidRPr="00F4526E">
        <w:rPr>
          <w:rFonts w:asciiTheme="minorHAnsi" w:hAnsiTheme="minorHAnsi" w:cstheme="minorBidi"/>
          <w:color w:val="auto"/>
          <w:sz w:val="22"/>
          <w:szCs w:val="22"/>
        </w:rPr>
        <w:t xml:space="preserve"> Banks has an overall IT budget of around $120,000 for consolidation project. </w:t>
      </w:r>
      <w:r w:rsidR="004F6728" w:rsidRPr="00F4526E">
        <w:rPr>
          <w:rFonts w:asciiTheme="minorHAnsi" w:hAnsiTheme="minorHAnsi" w:cstheme="minorBidi"/>
          <w:color w:val="auto"/>
          <w:sz w:val="22"/>
          <w:szCs w:val="22"/>
        </w:rPr>
        <w:t>This project will migrate all internal web applications of the bank to a web content management (WCM) platform to organize content and structure of applications.</w:t>
      </w:r>
    </w:p>
    <w:p w:rsidR="004F6728" w:rsidRDefault="004F6728" w:rsidP="00F4526E">
      <w:pPr>
        <w:jc w:val="both"/>
      </w:pPr>
      <w:r>
        <w:t>In order to migrate the application, we require various hardware, software and resources. The budget for the whole project can be divided into various categories.</w:t>
      </w:r>
      <w:r w:rsidR="00F13955">
        <w:t xml:space="preserve"> </w:t>
      </w:r>
    </w:p>
    <w:p w:rsidR="00F13955" w:rsidRDefault="00F13955" w:rsidP="004F6728"/>
    <w:p w:rsidR="006D2E58" w:rsidRPr="007A15B2" w:rsidRDefault="00F440E0" w:rsidP="00662B60">
      <w:pPr>
        <w:rPr>
          <w:i/>
        </w:rPr>
      </w:pPr>
      <w:r w:rsidRPr="007A15B2">
        <w:rPr>
          <w:i/>
        </w:rPr>
        <w:t xml:space="preserve">The table below gives the description of the individual </w:t>
      </w:r>
      <w:r w:rsidR="004F6728">
        <w:rPr>
          <w:i/>
        </w:rPr>
        <w:t>category</w:t>
      </w:r>
      <w:r w:rsidR="004F6728" w:rsidRPr="007A15B2">
        <w:rPr>
          <w:i/>
        </w:rPr>
        <w:t xml:space="preserve"> </w:t>
      </w:r>
      <w:r w:rsidRPr="007A15B2">
        <w:rPr>
          <w:i/>
        </w:rPr>
        <w:t xml:space="preserve">and </w:t>
      </w:r>
      <w:r w:rsidR="004F6728">
        <w:rPr>
          <w:i/>
        </w:rPr>
        <w:t>the budget</w:t>
      </w:r>
      <w:r w:rsidRPr="007A15B2">
        <w:rPr>
          <w:i/>
        </w:rPr>
        <w:t xml:space="preserve"> assigned to that event. The </w:t>
      </w:r>
      <w:r w:rsidR="004F6728">
        <w:rPr>
          <w:i/>
        </w:rPr>
        <w:t>category</w:t>
      </w:r>
      <w:r w:rsidRPr="007A15B2">
        <w:rPr>
          <w:i/>
        </w:rPr>
        <w:t xml:space="preserve"> can be further broken down to events but to maintain the simplicity, it has been avoided</w:t>
      </w:r>
    </w:p>
    <w:tbl>
      <w:tblPr>
        <w:tblStyle w:val="GridTable4-Accent2"/>
        <w:tblW w:w="10047" w:type="dxa"/>
        <w:tblLook w:val="04A0" w:firstRow="1" w:lastRow="0" w:firstColumn="1" w:lastColumn="0" w:noHBand="0" w:noVBand="1"/>
      </w:tblPr>
      <w:tblGrid>
        <w:gridCol w:w="2749"/>
        <w:gridCol w:w="4849"/>
        <w:gridCol w:w="2449"/>
      </w:tblGrid>
      <w:tr w:rsidR="007A15B2" w:rsidRPr="003A002F" w:rsidTr="000B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7A15B2" w:rsidRPr="003A002F" w:rsidRDefault="000B0A89" w:rsidP="000B0A89">
            <w:pPr>
              <w:spacing w:line="360" w:lineRule="auto"/>
              <w:jc w:val="center"/>
            </w:pPr>
            <w:r>
              <w:t>Category</w:t>
            </w:r>
          </w:p>
        </w:tc>
        <w:tc>
          <w:tcPr>
            <w:tcW w:w="4849" w:type="dxa"/>
            <w:noWrap/>
            <w:hideMark/>
          </w:tcPr>
          <w:p w:rsidR="007A15B2" w:rsidRPr="003A002F" w:rsidRDefault="007A15B2" w:rsidP="000B0A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002F">
              <w:t>Event</w:t>
            </w:r>
          </w:p>
        </w:tc>
        <w:tc>
          <w:tcPr>
            <w:tcW w:w="2449" w:type="dxa"/>
            <w:noWrap/>
            <w:hideMark/>
          </w:tcPr>
          <w:p w:rsidR="007A15B2" w:rsidRPr="003A002F" w:rsidRDefault="000B0A89" w:rsidP="000B0A8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Budget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 w:rsidRPr="000B0A89">
              <w:rPr>
                <w:rFonts w:ascii="Calibri" w:hAnsi="Calibri" w:cs="Calibri"/>
                <w:color w:val="000000"/>
              </w:rPr>
              <w:t>Software</w:t>
            </w:r>
          </w:p>
        </w:tc>
        <w:tc>
          <w:tcPr>
            <w:tcW w:w="4849" w:type="dxa"/>
            <w:noWrap/>
            <w:hideMark/>
          </w:tcPr>
          <w:p w:rsidR="006431B8" w:rsidRPr="000B0A89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B0A89">
              <w:rPr>
                <w:rFonts w:ascii="Calibri" w:hAnsi="Calibri" w:cs="Calibri"/>
                <w:b/>
                <w:bCs/>
                <w:color w:val="000000"/>
              </w:rPr>
              <w:t xml:space="preserve">Procurement of </w:t>
            </w:r>
            <w:proofErr w:type="spellStart"/>
            <w:r w:rsidRPr="000B0A89">
              <w:rPr>
                <w:rFonts w:ascii="Calibri" w:hAnsi="Calibri" w:cs="Calibri"/>
                <w:b/>
                <w:bCs/>
                <w:color w:val="000000"/>
              </w:rPr>
              <w:t>Atlassian</w:t>
            </w:r>
            <w:proofErr w:type="spellEnd"/>
            <w:r w:rsidRPr="000B0A89">
              <w:rPr>
                <w:rFonts w:ascii="Calibri" w:hAnsi="Calibri" w:cs="Calibri"/>
                <w:b/>
                <w:bCs/>
                <w:color w:val="000000"/>
              </w:rPr>
              <w:t xml:space="preserve"> PM software licenses. </w:t>
            </w:r>
          </w:p>
        </w:tc>
        <w:tc>
          <w:tcPr>
            <w:tcW w:w="2449" w:type="dxa"/>
            <w:noWrap/>
            <w:hideMark/>
          </w:tcPr>
          <w:p w:rsidR="006431B8" w:rsidRPr="000B0A89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0B0A89">
              <w:rPr>
                <w:rFonts w:ascii="Calibri" w:hAnsi="Calibri" w:cs="Calibri"/>
                <w:b/>
                <w:bCs/>
                <w:color w:val="000000"/>
              </w:rPr>
              <w:t>3000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Procurement of SQL server 2016 licenses.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Software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Procurement of Visual Studio Professional 2015 licenses.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Procurement of AWS EC2 cloud server instances.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Configuration of Servers.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Setting up the Network.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Hardware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Procurement and configuration of Workstations.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Migration of legacy solutions to the responsive platform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Development of new modules and central dashboard application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Testing of the implemented module for integration testing and unit testing.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Deployment of solutions on servers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Implementation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WhiteHat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Application Security Testing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Human Resources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Personnel to carry out implementation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  <w:hideMark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Human Resources</w:t>
            </w:r>
          </w:p>
        </w:tc>
        <w:tc>
          <w:tcPr>
            <w:tcW w:w="4849" w:type="dxa"/>
            <w:noWrap/>
            <w:hideMark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Human Resources to carry out training and Project Management</w:t>
            </w:r>
          </w:p>
        </w:tc>
        <w:tc>
          <w:tcPr>
            <w:tcW w:w="2449" w:type="dxa"/>
            <w:noWrap/>
            <w:hideMark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7500</w:t>
            </w:r>
          </w:p>
        </w:tc>
      </w:tr>
      <w:tr w:rsidR="006431B8" w:rsidRPr="003A002F" w:rsidTr="000B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Engineering</w:t>
            </w:r>
          </w:p>
        </w:tc>
        <w:tc>
          <w:tcPr>
            <w:tcW w:w="4849" w:type="dxa"/>
            <w:noWrap/>
          </w:tcPr>
          <w:p w:rsidR="006431B8" w:rsidRDefault="006431B8" w:rsidP="006431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Physical security including measures such as Bio-metrics, ID etc.</w:t>
            </w:r>
          </w:p>
        </w:tc>
        <w:tc>
          <w:tcPr>
            <w:tcW w:w="2449" w:type="dxa"/>
            <w:noWrap/>
          </w:tcPr>
          <w:p w:rsidR="006431B8" w:rsidRDefault="006431B8" w:rsidP="006431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1500</w:t>
            </w:r>
          </w:p>
        </w:tc>
      </w:tr>
      <w:tr w:rsidR="006431B8" w:rsidRPr="003A002F" w:rsidTr="000B0A89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  <w:noWrap/>
          </w:tcPr>
          <w:p w:rsidR="006431B8" w:rsidRDefault="006431B8" w:rsidP="006431B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</w:t>
            </w:r>
          </w:p>
        </w:tc>
        <w:tc>
          <w:tcPr>
            <w:tcW w:w="4849" w:type="dxa"/>
            <w:noWrap/>
          </w:tcPr>
          <w:p w:rsidR="006431B8" w:rsidRDefault="006431B8" w:rsidP="006431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Support required in case of hardware failure, cloud server failure, power failure.</w:t>
            </w:r>
          </w:p>
        </w:tc>
        <w:tc>
          <w:tcPr>
            <w:tcW w:w="2449" w:type="dxa"/>
            <w:noWrap/>
          </w:tcPr>
          <w:p w:rsidR="006431B8" w:rsidRDefault="006431B8" w:rsidP="006431B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4500</w:t>
            </w:r>
          </w:p>
        </w:tc>
      </w:tr>
    </w:tbl>
    <w:p w:rsidR="000B0A89" w:rsidRDefault="000B0A89" w:rsidP="000B0A89"/>
    <w:p w:rsidR="000B0A89" w:rsidRDefault="000B0A89" w:rsidP="003A002F">
      <w:pPr>
        <w:jc w:val="center"/>
      </w:pPr>
    </w:p>
    <w:p w:rsidR="000B0A89" w:rsidRDefault="000B0A89" w:rsidP="003A002F">
      <w:pPr>
        <w:jc w:val="center"/>
      </w:pPr>
    </w:p>
    <w:p w:rsidR="000B0A89" w:rsidRDefault="000B0A89" w:rsidP="003A002F">
      <w:pPr>
        <w:jc w:val="center"/>
      </w:pPr>
      <w:r>
        <w:rPr>
          <w:noProof/>
        </w:rPr>
        <w:drawing>
          <wp:inline distT="0" distB="0" distL="0" distR="0" wp14:anchorId="2C6B2486" wp14:editId="2BA921D2">
            <wp:extent cx="6296025" cy="307657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A7C22EA1-9230-466B-953F-9717B854E9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0A89" w:rsidRDefault="000B0A89" w:rsidP="003A002F">
      <w:pPr>
        <w:jc w:val="center"/>
      </w:pPr>
    </w:p>
    <w:p w:rsidR="003A002F" w:rsidRDefault="003A002F" w:rsidP="003A002F">
      <w:pPr>
        <w:jc w:val="center"/>
        <w:rPr>
          <w:i/>
        </w:rPr>
      </w:pPr>
      <w:r>
        <w:rPr>
          <w:i/>
        </w:rPr>
        <w:t>Figure:</w:t>
      </w:r>
      <w:r w:rsidR="004F6728">
        <w:rPr>
          <w:i/>
        </w:rPr>
        <w:t xml:space="preserve"> Category-wise</w:t>
      </w:r>
      <w:r>
        <w:rPr>
          <w:i/>
        </w:rPr>
        <w:t xml:space="preserve"> Project Budget </w:t>
      </w:r>
    </w:p>
    <w:p w:rsidR="00F440E0" w:rsidRDefault="00F440E0" w:rsidP="003A002F">
      <w:pPr>
        <w:jc w:val="center"/>
        <w:rPr>
          <w:i/>
        </w:rPr>
      </w:pPr>
    </w:p>
    <w:p w:rsidR="00F440E0" w:rsidRPr="003A002F" w:rsidRDefault="00F440E0" w:rsidP="003A002F">
      <w:pPr>
        <w:jc w:val="center"/>
        <w:rPr>
          <w:i/>
        </w:rPr>
      </w:pPr>
    </w:p>
    <w:p w:rsidR="003B31AE" w:rsidRDefault="000977AE" w:rsidP="00C5253F">
      <w:r>
        <w:t>The figure above gives the budget assignment with respect to the categories i.e. Engineeri</w:t>
      </w:r>
      <w:r w:rsidR="00F4526E">
        <w:t>ng, Hardware, Implementation, Software and support</w:t>
      </w:r>
      <w:r>
        <w:t xml:space="preserve">. </w:t>
      </w:r>
    </w:p>
    <w:p w:rsidR="000977AE" w:rsidRDefault="000977AE" w:rsidP="00C5253F"/>
    <w:p w:rsidR="00F557F6" w:rsidRDefault="004F6728" w:rsidP="000977AE">
      <w:pPr>
        <w:rPr>
          <w:noProof/>
        </w:rPr>
      </w:pPr>
      <w:r>
        <w:rPr>
          <w:noProof/>
        </w:rPr>
        <w:t>The overall budget distribution from January to July is given in the below table.</w:t>
      </w:r>
    </w:p>
    <w:p w:rsidR="000D59A5" w:rsidRDefault="00F440E0" w:rsidP="000977AE">
      <w:r>
        <w:rPr>
          <w:noProof/>
        </w:rPr>
        <w:lastRenderedPageBreak/>
        <w:drawing>
          <wp:inline distT="0" distB="0" distL="0" distR="0">
            <wp:extent cx="4819650" cy="750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26E" w:rsidRPr="00F4526E" w:rsidRDefault="00F4526E" w:rsidP="00F4526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lastRenderedPageBreak/>
        <w:t xml:space="preserve">Budget for </w:t>
      </w:r>
      <w:r w:rsidRPr="00F4526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u w:val="single"/>
        </w:rPr>
        <w:t>March 2017</w:t>
      </w:r>
    </w:p>
    <w:tbl>
      <w:tblPr>
        <w:tblW w:w="9660" w:type="dxa"/>
        <w:tblLook w:val="04A0" w:firstRow="1" w:lastRow="0" w:firstColumn="1" w:lastColumn="0" w:noHBand="0" w:noVBand="1"/>
      </w:tblPr>
      <w:tblGrid>
        <w:gridCol w:w="1622"/>
        <w:gridCol w:w="1343"/>
        <w:gridCol w:w="2034"/>
        <w:gridCol w:w="1713"/>
        <w:gridCol w:w="2138"/>
        <w:gridCol w:w="810"/>
      </w:tblGrid>
      <w:tr w:rsidR="000D59A5" w:rsidRPr="000D59A5" w:rsidTr="000D59A5">
        <w:trPr>
          <w:trHeight w:val="288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Month of March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Week 1</w:t>
            </w:r>
          </w:p>
        </w:tc>
        <w:tc>
          <w:tcPr>
            <w:tcW w:w="2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Week 2</w:t>
            </w:r>
          </w:p>
        </w:tc>
        <w:tc>
          <w:tcPr>
            <w:tcW w:w="1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Week 3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Week 4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0D59A5" w:rsidRPr="000D59A5" w:rsidTr="000D59A5">
        <w:trPr>
          <w:trHeight w:val="576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ind w:right="444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Procurement of SQL server licenses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$2000 for SQL server license for development server 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$2000 for SQL server license for production server 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$4,000 </w:t>
            </w:r>
          </w:p>
        </w:tc>
      </w:tr>
      <w:tr w:rsidR="000D59A5" w:rsidRPr="000D59A5" w:rsidTr="000D59A5">
        <w:trPr>
          <w:trHeight w:val="576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Procurement of Visual Studio Professional 2015 licenses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$2000 for VS 2015 pro license for developers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$2,000 </w:t>
            </w:r>
          </w:p>
        </w:tc>
      </w:tr>
      <w:tr w:rsidR="000D59A5" w:rsidRPr="000D59A5" w:rsidTr="000D59A5">
        <w:trPr>
          <w:trHeight w:val="86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Procurement of AWS EC2 cloud server instances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for development server on AWS cloud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for QA server on AWS cloud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for UAT server on AWS cloud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for development production server on AWS cloud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$4,000 </w:t>
            </w:r>
          </w:p>
        </w:tc>
      </w:tr>
      <w:tr w:rsidR="000D59A5" w:rsidRPr="000D59A5" w:rsidTr="000D59A5">
        <w:trPr>
          <w:trHeight w:val="86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Configuration of AWS servers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$375 to configure development server on AWS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$375 to configure QA server on AWS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$375 to configure UAT server on AWS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$375 to configure production server on AWS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$1,500 </w:t>
            </w:r>
          </w:p>
        </w:tc>
      </w:tr>
      <w:tr w:rsidR="000D59A5" w:rsidRPr="000D59A5" w:rsidTr="000D59A5">
        <w:trPr>
          <w:trHeight w:val="86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Setting up network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$900 for configuring network settings for development workstations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$600 for configuring network settings for QA team workstations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$1,500 </w:t>
            </w:r>
          </w:p>
        </w:tc>
      </w:tr>
      <w:tr w:rsidR="000D59A5" w:rsidRPr="000D59A5" w:rsidTr="000D59A5">
        <w:trPr>
          <w:trHeight w:val="86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Procurement and configuration of workstations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$1500 for procuring new workstations for development team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for procuring new workstations for development team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$2,500 </w:t>
            </w:r>
          </w:p>
        </w:tc>
      </w:tr>
      <w:tr w:rsidR="000D59A5" w:rsidRPr="000D59A5" w:rsidTr="000D59A5">
        <w:trPr>
          <w:trHeight w:val="864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Personnel to carry out implementation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$1500 required for developing responsive web pages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$1000 required for developing backend solutions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$500 required for testing developed modules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$3,000 </w:t>
            </w:r>
          </w:p>
        </w:tc>
      </w:tr>
      <w:tr w:rsidR="000D59A5" w:rsidRPr="000D59A5" w:rsidTr="000D59A5">
        <w:trPr>
          <w:trHeight w:val="576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Human resources to carry out training and project management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$500 for training developers about new tools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$500 for training QA team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$1,000 </w:t>
            </w:r>
          </w:p>
        </w:tc>
      </w:tr>
      <w:tr w:rsidR="000D59A5" w:rsidRPr="000D59A5" w:rsidTr="000D59A5">
        <w:trPr>
          <w:trHeight w:val="576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Support required in case of hardware failure, cloud server failure or power failure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$125 for IT support in case of failure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$125 for IT support in case of failure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$125 for IT support in case of failure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$125 for IT support in case of failure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$500 </w:t>
            </w:r>
          </w:p>
        </w:tc>
      </w:tr>
      <w:tr w:rsidR="000D59A5" w:rsidRPr="000D59A5" w:rsidTr="000D59A5">
        <w:trPr>
          <w:trHeight w:val="288"/>
        </w:trPr>
        <w:tc>
          <w:tcPr>
            <w:tcW w:w="1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0D59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Weekly Total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424357" w:rsidP="00424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$</w:t>
            </w:r>
            <w:r w:rsidR="000D59A5"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9900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424357" w:rsidP="00424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$</w:t>
            </w:r>
            <w:r w:rsidR="000D59A5"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4100</w:t>
            </w:r>
          </w:p>
        </w:tc>
        <w:tc>
          <w:tcPr>
            <w:tcW w:w="1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424357" w:rsidP="00424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$</w:t>
            </w:r>
            <w:r w:rsidR="000D59A5"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4500</w:t>
            </w:r>
          </w:p>
        </w:tc>
        <w:tc>
          <w:tcPr>
            <w:tcW w:w="2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424357" w:rsidP="00424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$</w:t>
            </w:r>
            <w:r w:rsidR="000D59A5"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1500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vAlign w:val="center"/>
            <w:hideMark/>
          </w:tcPr>
          <w:p w:rsidR="000D59A5" w:rsidRPr="000D59A5" w:rsidRDefault="000D59A5" w:rsidP="0042435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D59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$20,000</w:t>
            </w:r>
          </w:p>
        </w:tc>
      </w:tr>
    </w:tbl>
    <w:p w:rsidR="000D59A5" w:rsidRDefault="000D59A5" w:rsidP="000977AE"/>
    <w:p w:rsidR="00F440E0" w:rsidRDefault="00F440E0" w:rsidP="000977AE">
      <w:bookmarkStart w:id="0" w:name="_GoBack"/>
      <w:bookmarkEnd w:id="0"/>
    </w:p>
    <w:sectPr w:rsidR="00F440E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5C5" w:rsidRDefault="001175C5" w:rsidP="00662B60">
      <w:pPr>
        <w:spacing w:after="0" w:line="240" w:lineRule="auto"/>
      </w:pPr>
      <w:r>
        <w:separator/>
      </w:r>
    </w:p>
  </w:endnote>
  <w:endnote w:type="continuationSeparator" w:id="0">
    <w:p w:rsidR="001175C5" w:rsidRDefault="001175C5" w:rsidP="00662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40E0" w:rsidRPr="00F440E0" w:rsidRDefault="00F440E0" w:rsidP="00F440E0">
    <w:pPr>
      <w:pStyle w:val="Footer"/>
      <w:rPr>
        <w:rFonts w:ascii="Times New Roman" w:hAnsi="Times New Roman" w:cs="Times New Roman"/>
      </w:rPr>
    </w:pPr>
    <w:r w:rsidRPr="00F440E0">
      <w:rPr>
        <w:rFonts w:ascii="Times New Roman" w:hAnsi="Times New Roman" w:cs="Times New Roman"/>
      </w:rPr>
      <w:t>Section 602 – Group 11</w:t>
    </w:r>
  </w:p>
  <w:p w:rsidR="00F440E0" w:rsidRPr="00F440E0" w:rsidRDefault="00F440E0" w:rsidP="00F440E0">
    <w:pPr>
      <w:pStyle w:val="Footer"/>
      <w:rPr>
        <w:rFonts w:ascii="Times New Roman" w:hAnsi="Times New Roman" w:cs="Times New Roman"/>
      </w:rPr>
    </w:pPr>
    <w:r w:rsidRPr="00F440E0">
      <w:rPr>
        <w:rFonts w:ascii="Times New Roman" w:hAnsi="Times New Roman" w:cs="Times New Roman"/>
      </w:rPr>
      <w:t>Hirt, Rafi, and Kulshrestha</w:t>
    </w:r>
  </w:p>
  <w:p w:rsidR="00F440E0" w:rsidRPr="00F440E0" w:rsidRDefault="00F440E0" w:rsidP="00F440E0">
    <w:pPr>
      <w:pStyle w:val="Footer"/>
      <w:rPr>
        <w:rFonts w:ascii="Times New Roman" w:hAnsi="Times New Roman" w:cs="Times New Roman"/>
      </w:rPr>
    </w:pPr>
    <w:r w:rsidRPr="00F440E0">
      <w:rPr>
        <w:rFonts w:ascii="Times New Roman" w:hAnsi="Times New Roman" w:cs="Times New Roman"/>
      </w:rPr>
      <w:t>Project Budget</w:t>
    </w:r>
  </w:p>
  <w:p w:rsidR="00F440E0" w:rsidRPr="00F440E0" w:rsidRDefault="00F440E0" w:rsidP="00F440E0">
    <w:pPr>
      <w:pStyle w:val="Footer"/>
      <w:rPr>
        <w:rFonts w:ascii="Times New Roman" w:hAnsi="Times New Roman" w:cs="Times New Roman"/>
      </w:rPr>
    </w:pPr>
    <w:r w:rsidRPr="00F440E0">
      <w:rPr>
        <w:rFonts w:ascii="Times New Roman" w:hAnsi="Times New Roman" w:cs="Times New Roman"/>
      </w:rPr>
      <w:t>3/20/2017</w:t>
    </w:r>
  </w:p>
  <w:p w:rsidR="00F440E0" w:rsidRPr="00F440E0" w:rsidRDefault="00F440E0" w:rsidP="00F440E0">
    <w:pPr>
      <w:pStyle w:val="Footer"/>
      <w:rPr>
        <w:rFonts w:ascii="Times New Roman" w:hAnsi="Times New Roman" w:cs="Times New Roman"/>
      </w:rPr>
    </w:pPr>
    <w:r w:rsidRPr="00F440E0">
      <w:rPr>
        <w:rFonts w:ascii="Times New Roman" w:hAnsi="Times New Roman" w:cs="Times New Roman"/>
      </w:rPr>
      <w:t>Version 1</w:t>
    </w:r>
  </w:p>
  <w:p w:rsidR="00662B60" w:rsidRPr="00F440E0" w:rsidRDefault="00662B60" w:rsidP="00F44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5C5" w:rsidRDefault="001175C5" w:rsidP="00662B60">
      <w:pPr>
        <w:spacing w:after="0" w:line="240" w:lineRule="auto"/>
      </w:pPr>
      <w:r>
        <w:separator/>
      </w:r>
    </w:p>
  </w:footnote>
  <w:footnote w:type="continuationSeparator" w:id="0">
    <w:p w:rsidR="001175C5" w:rsidRDefault="001175C5" w:rsidP="00662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F7FFC"/>
    <w:multiLevelType w:val="hybridMultilevel"/>
    <w:tmpl w:val="6E3C8B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434EF"/>
    <w:multiLevelType w:val="hybridMultilevel"/>
    <w:tmpl w:val="C5340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sTQzMLU0MzWxNDVV0lEKTi0uzszPAykwqgUA1/UTlCwAAAA="/>
  </w:docVars>
  <w:rsids>
    <w:rsidRoot w:val="00C5253F"/>
    <w:rsid w:val="00041458"/>
    <w:rsid w:val="00041A15"/>
    <w:rsid w:val="000977AE"/>
    <w:rsid w:val="000B0A89"/>
    <w:rsid w:val="000D59A5"/>
    <w:rsid w:val="001175C5"/>
    <w:rsid w:val="00183141"/>
    <w:rsid w:val="002012D0"/>
    <w:rsid w:val="0037500E"/>
    <w:rsid w:val="003A002F"/>
    <w:rsid w:val="003B31AE"/>
    <w:rsid w:val="00424357"/>
    <w:rsid w:val="004A07B6"/>
    <w:rsid w:val="004F6728"/>
    <w:rsid w:val="0055281F"/>
    <w:rsid w:val="00581DB7"/>
    <w:rsid w:val="005C3F33"/>
    <w:rsid w:val="006431B8"/>
    <w:rsid w:val="00662B60"/>
    <w:rsid w:val="006B2AA7"/>
    <w:rsid w:val="006D2E58"/>
    <w:rsid w:val="007A15B2"/>
    <w:rsid w:val="007E3532"/>
    <w:rsid w:val="008941BC"/>
    <w:rsid w:val="008B5BE5"/>
    <w:rsid w:val="009C30AA"/>
    <w:rsid w:val="009D59A0"/>
    <w:rsid w:val="00A533C3"/>
    <w:rsid w:val="00B53A2B"/>
    <w:rsid w:val="00C10048"/>
    <w:rsid w:val="00C5253F"/>
    <w:rsid w:val="00CE63D6"/>
    <w:rsid w:val="00CE7CF4"/>
    <w:rsid w:val="00DD57A3"/>
    <w:rsid w:val="00E415E9"/>
    <w:rsid w:val="00F13955"/>
    <w:rsid w:val="00F440E0"/>
    <w:rsid w:val="00F4526E"/>
    <w:rsid w:val="00F557F6"/>
    <w:rsid w:val="00F7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2089"/>
  <w15:chartTrackingRefBased/>
  <w15:docId w15:val="{F5692DB4-887D-4A1D-8B16-1BC0A249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53F"/>
    <w:pPr>
      <w:ind w:left="720"/>
      <w:contextualSpacing/>
    </w:pPr>
  </w:style>
  <w:style w:type="table" w:styleId="TableGrid">
    <w:name w:val="Table Grid"/>
    <w:basedOn w:val="TableNormal"/>
    <w:uiPriority w:val="39"/>
    <w:rsid w:val="003B3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A00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00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2B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6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B60"/>
  </w:style>
  <w:style w:type="paragraph" w:styleId="Footer">
    <w:name w:val="footer"/>
    <w:basedOn w:val="Normal"/>
    <w:link w:val="FooterChar"/>
    <w:uiPriority w:val="99"/>
    <w:unhideWhenUsed/>
    <w:rsid w:val="00662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B60"/>
  </w:style>
  <w:style w:type="table" w:styleId="GridTable4-Accent2">
    <w:name w:val="Grid Table 4 Accent 2"/>
    <w:basedOn w:val="TableNormal"/>
    <w:uiPriority w:val="49"/>
    <w:rsid w:val="000B0A8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4F67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[Book1.xlsx]Sheet3!PivotTable2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Budget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12700">
              <a:solidFill>
                <a:schemeClr val="lt2"/>
              </a:solidFill>
              <a:round/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Sheet3!$B$3</c:f>
              <c:strCache>
                <c:ptCount val="1"/>
                <c:pt idx="0">
                  <c:v>Total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Sheet3!$A$4:$A$10</c:f>
              <c:strCache>
                <c:ptCount val="6"/>
                <c:pt idx="0">
                  <c:v>Engineering</c:v>
                </c:pt>
                <c:pt idx="1">
                  <c:v>Hardware</c:v>
                </c:pt>
                <c:pt idx="2">
                  <c:v>Human Resources</c:v>
                </c:pt>
                <c:pt idx="3">
                  <c:v>Implementation</c:v>
                </c:pt>
                <c:pt idx="4">
                  <c:v>Software</c:v>
                </c:pt>
                <c:pt idx="5">
                  <c:v>Support</c:v>
                </c:pt>
              </c:strCache>
            </c:strRef>
          </c:cat>
          <c:val>
            <c:numRef>
              <c:f>Sheet3!$B$4:$B$10</c:f>
              <c:numCache>
                <c:formatCode>General</c:formatCode>
                <c:ptCount val="6"/>
                <c:pt idx="0">
                  <c:v>1500</c:v>
                </c:pt>
                <c:pt idx="1">
                  <c:v>17000</c:v>
                </c:pt>
                <c:pt idx="2">
                  <c:v>25500</c:v>
                </c:pt>
                <c:pt idx="3">
                  <c:v>45200</c:v>
                </c:pt>
                <c:pt idx="4">
                  <c:v>26000</c:v>
                </c:pt>
                <c:pt idx="5">
                  <c:v>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34-436F-8A1A-C69399AD6AC1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435183000"/>
        <c:axId val="435183328"/>
      </c:barChart>
      <c:catAx>
        <c:axId val="435183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83328"/>
        <c:crosses val="autoZero"/>
        <c:auto val="1"/>
        <c:lblAlgn val="ctr"/>
        <c:lblOffset val="100"/>
        <c:noMultiLvlLbl val="0"/>
      </c:catAx>
      <c:valAx>
        <c:axId val="43518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5183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08F0-4B23-4BDF-BF14-976EFDB26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Vipul Pramod</dc:creator>
  <cp:keywords/>
  <dc:description/>
  <cp:lastModifiedBy>Parvez Rafi</cp:lastModifiedBy>
  <cp:revision>18</cp:revision>
  <dcterms:created xsi:type="dcterms:W3CDTF">2015-03-24T22:43:00Z</dcterms:created>
  <dcterms:modified xsi:type="dcterms:W3CDTF">2017-03-22T00:02:00Z</dcterms:modified>
</cp:coreProperties>
</file>