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27" w:rsidRDefault="000B5F5D" w:rsidP="00226243">
      <w:pPr>
        <w:jc w:val="center"/>
        <w:rPr>
          <w:b/>
          <w:sz w:val="24"/>
          <w:szCs w:val="24"/>
          <w:u w:val="single"/>
        </w:rPr>
      </w:pPr>
      <w:r w:rsidRPr="000B5F5D">
        <w:rPr>
          <w:b/>
          <w:sz w:val="24"/>
          <w:szCs w:val="24"/>
          <w:u w:val="single"/>
        </w:rPr>
        <w:t>Organizational Description</w:t>
      </w:r>
    </w:p>
    <w:p w:rsidR="000B5F5D" w:rsidRDefault="000B5F5D" w:rsidP="00EA05AF">
      <w:pPr>
        <w:spacing w:line="360" w:lineRule="auto"/>
        <w:jc w:val="both"/>
        <w:rPr>
          <w:b/>
          <w:sz w:val="24"/>
          <w:szCs w:val="24"/>
          <w:u w:val="single"/>
        </w:rPr>
      </w:pPr>
    </w:p>
    <w:p w:rsidR="001A2A2C" w:rsidRDefault="000B5F5D" w:rsidP="00EA05AF">
      <w:pPr>
        <w:spacing w:line="360" w:lineRule="auto"/>
        <w:jc w:val="both"/>
      </w:pPr>
      <w:r w:rsidRPr="000B5F5D">
        <w:t>LongHorn Banks</w:t>
      </w:r>
      <w:r>
        <w:t xml:space="preserve"> (NYSE :</w:t>
      </w:r>
      <w:r w:rsidR="00C65A70">
        <w:t xml:space="preserve"> </w:t>
      </w:r>
      <w:r>
        <w:t>LHB) is a</w:t>
      </w:r>
      <w:r w:rsidR="00AF14E3">
        <w:t xml:space="preserve">n American </w:t>
      </w:r>
      <w:r w:rsidR="001B33AF">
        <w:t>multinational</w:t>
      </w:r>
      <w:r w:rsidR="0056398B">
        <w:t xml:space="preserve"> </w:t>
      </w:r>
      <w:r w:rsidR="0056398B" w:rsidRPr="0056398B">
        <w:t xml:space="preserve">banking and financial services </w:t>
      </w:r>
      <w:r w:rsidR="00FE3478">
        <w:t>company</w:t>
      </w:r>
      <w:r>
        <w:t xml:space="preserve"> headquartered in </w:t>
      </w:r>
      <w:r w:rsidR="00FE3478">
        <w:t xml:space="preserve">Dallas, Texas. </w:t>
      </w:r>
      <w:r w:rsidR="008E012F">
        <w:t xml:space="preserve">It was founded in 1903 by Mr. Jacobs Longhorn. </w:t>
      </w:r>
      <w:r w:rsidR="00FE3478">
        <w:t xml:space="preserve">LongHorn provides the </w:t>
      </w:r>
      <w:r w:rsidR="001A2A2C">
        <w:t xml:space="preserve">wide range of </w:t>
      </w:r>
      <w:r w:rsidR="00FE3478">
        <w:t xml:space="preserve">banking services </w:t>
      </w:r>
      <w:r w:rsidR="001A2A2C">
        <w:t xml:space="preserve">that include personal and business accounts, loan mortgages, merchant services, consumer credit cards </w:t>
      </w:r>
      <w:r w:rsidR="00FE3478">
        <w:t>with</w:t>
      </w:r>
      <w:r w:rsidR="001A2A2C">
        <w:t xml:space="preserve"> over 6</w:t>
      </w:r>
      <w:r w:rsidR="00FE3478">
        <w:t>00 branches</w:t>
      </w:r>
      <w:r w:rsidR="001A2A2C">
        <w:t xml:space="preserve"> and over 16</w:t>
      </w:r>
      <w:r w:rsidR="00FE3478">
        <w:t>00 ATM’s through a network prese</w:t>
      </w:r>
      <w:r w:rsidR="003F3E56">
        <w:t>nt in 20 different states. As of</w:t>
      </w:r>
      <w:r w:rsidR="002164B0">
        <w:t xml:space="preserve"> January 2017, LongHorn havs </w:t>
      </w:r>
      <w:r w:rsidR="00FE3478">
        <w:t>a total of $60 billion in</w:t>
      </w:r>
      <w:r w:rsidR="008E012F">
        <w:t xml:space="preserve"> asset and is 35</w:t>
      </w:r>
      <w:r w:rsidR="008E012F" w:rsidRPr="008E012F">
        <w:rPr>
          <w:vertAlign w:val="superscript"/>
        </w:rPr>
        <w:t>th</w:t>
      </w:r>
      <w:r w:rsidR="008E012F">
        <w:t xml:space="preserve"> largest bank holding company in the country.</w:t>
      </w:r>
      <w:r w:rsidR="00F47118">
        <w:t xml:space="preserve"> </w:t>
      </w:r>
      <w:r w:rsidR="003479FD">
        <w:t>I</w:t>
      </w:r>
      <w:r w:rsidR="003479FD" w:rsidRPr="0095135B">
        <w:t xml:space="preserve">n February </w:t>
      </w:r>
      <w:r w:rsidR="003479FD">
        <w:t>197</w:t>
      </w:r>
      <w:r w:rsidR="003479FD" w:rsidRPr="0095135B">
        <w:t>9</w:t>
      </w:r>
      <w:r w:rsidR="003479FD">
        <w:t xml:space="preserve">, </w:t>
      </w:r>
      <w:r w:rsidR="0056398B" w:rsidRPr="000B5F5D">
        <w:t xml:space="preserve">LongHorn </w:t>
      </w:r>
      <w:r w:rsidR="0056398B" w:rsidRPr="0095135B">
        <w:t xml:space="preserve">Bank merged with </w:t>
      </w:r>
      <w:r w:rsidR="0056398B">
        <w:t>Short</w:t>
      </w:r>
      <w:r w:rsidR="0056398B" w:rsidRPr="000B5F5D">
        <w:t>Horn</w:t>
      </w:r>
      <w:r w:rsidR="0056398B">
        <w:t xml:space="preserve"> Bank</w:t>
      </w:r>
      <w:r w:rsidR="003479FD">
        <w:t>, making it one of largest private sector banking institutions</w:t>
      </w:r>
      <w:r w:rsidR="00C41757">
        <w:t xml:space="preserve"> in Texas</w:t>
      </w:r>
      <w:r w:rsidR="003479FD">
        <w:t xml:space="preserve">. </w:t>
      </w:r>
    </w:p>
    <w:p w:rsidR="009B5369" w:rsidRDefault="007C4710" w:rsidP="00EA05AF">
      <w:pPr>
        <w:spacing w:line="360" w:lineRule="auto"/>
        <w:jc w:val="both"/>
        <w:rPr>
          <w:b/>
        </w:rPr>
      </w:pPr>
      <w:r w:rsidRPr="00321561">
        <w:rPr>
          <w:b/>
        </w:rPr>
        <w:t>Products</w:t>
      </w:r>
      <w:r w:rsidR="00321561">
        <w:rPr>
          <w:b/>
        </w:rPr>
        <w:t>:</w:t>
      </w:r>
    </w:p>
    <w:p w:rsidR="009B5369" w:rsidRPr="00F3301F" w:rsidRDefault="00231203" w:rsidP="009B536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LongWallet: </w:t>
      </w:r>
      <w:r w:rsidR="00F3301F">
        <w:t xml:space="preserve">To make e-payment easier, LongHorn launched an e-wallet </w:t>
      </w:r>
      <w:r w:rsidR="00F3301F">
        <w:t xml:space="preserve">app </w:t>
      </w:r>
      <w:r w:rsidR="00F3301F">
        <w:t>in 2009 for consumers. Consumers can recharge e-wallet directly from their bank, which can be used to make online payments across many online e</w:t>
      </w:r>
      <w:r w:rsidR="00D153BD">
        <w:t>-</w:t>
      </w:r>
      <w:r w:rsidR="00F3301F">
        <w:t>commerce platforms.</w:t>
      </w:r>
    </w:p>
    <w:p w:rsidR="00F3301F" w:rsidRPr="000E51B2" w:rsidRDefault="007231C4" w:rsidP="009B536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LongRewards: </w:t>
      </w:r>
      <w:r w:rsidR="00D90F58">
        <w:t xml:space="preserve">From 1 August 2010, LongHorn launched </w:t>
      </w:r>
      <w:r w:rsidR="00244404">
        <w:t>LongRewards program, where reward points are offered to domestic consumers for transactions made through their savings account.</w:t>
      </w:r>
    </w:p>
    <w:p w:rsidR="009B5369" w:rsidRPr="00562162" w:rsidRDefault="000E51B2" w:rsidP="009B536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LongVaults: </w:t>
      </w:r>
      <w:r w:rsidR="004B6693">
        <w:t>In 2012, LongHorn Bank launched fully automatic lockers for consumers.</w:t>
      </w:r>
      <w:r w:rsidR="00C53A6F">
        <w:t xml:space="preserve"> LongVaults provide highly secure and avalaible locker service to consumers.</w:t>
      </w:r>
      <w:bookmarkStart w:id="0" w:name="_GoBack"/>
      <w:bookmarkEnd w:id="0"/>
    </w:p>
    <w:p w:rsidR="009B5369" w:rsidRPr="009B5369" w:rsidRDefault="009B5369" w:rsidP="009B5369">
      <w:pPr>
        <w:spacing w:line="360" w:lineRule="auto"/>
        <w:jc w:val="both"/>
        <w:rPr>
          <w:b/>
        </w:rPr>
      </w:pPr>
    </w:p>
    <w:p w:rsidR="00755985" w:rsidRPr="00755985" w:rsidRDefault="00755985" w:rsidP="00EA05AF">
      <w:pPr>
        <w:spacing w:line="360" w:lineRule="auto"/>
        <w:jc w:val="both"/>
        <w:rPr>
          <w:b/>
        </w:rPr>
      </w:pPr>
      <w:r w:rsidRPr="00755985">
        <w:rPr>
          <w:b/>
        </w:rPr>
        <w:t>Achievements &amp; Awards:</w:t>
      </w:r>
    </w:p>
    <w:p w:rsidR="000B5F5D" w:rsidRDefault="00CD2CCA" w:rsidP="00EA05AF">
      <w:pPr>
        <w:pStyle w:val="ListParagraph"/>
        <w:numPr>
          <w:ilvl w:val="0"/>
          <w:numId w:val="1"/>
        </w:numPr>
        <w:spacing w:line="360" w:lineRule="auto"/>
        <w:jc w:val="both"/>
      </w:pPr>
      <w:r>
        <w:t>Awarded as best customer friendly bank by Time Magazine in Texas State in 2016 for sixth year in a row.</w:t>
      </w:r>
    </w:p>
    <w:p w:rsidR="00CD2CCA" w:rsidRDefault="00CD2CCA" w:rsidP="00EA05AF">
      <w:pPr>
        <w:pStyle w:val="ListParagraph"/>
        <w:numPr>
          <w:ilvl w:val="0"/>
          <w:numId w:val="1"/>
        </w:numPr>
        <w:spacing w:line="360" w:lineRule="auto"/>
        <w:jc w:val="both"/>
      </w:pPr>
      <w:r>
        <w:t>Financial Times Awarded as Top Financial Advisors in 2015.</w:t>
      </w:r>
    </w:p>
    <w:p w:rsidR="00CD2CCA" w:rsidRDefault="00CD2CCA" w:rsidP="00EA05A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Won </w:t>
      </w:r>
      <w:r w:rsidRPr="00CD2CCA">
        <w:t>American Bankers Association Community Bank Award</w:t>
      </w:r>
      <w:r>
        <w:t xml:space="preserve"> in 2016.</w:t>
      </w:r>
    </w:p>
    <w:p w:rsidR="00CD2CCA" w:rsidRPr="00CD2CCA" w:rsidRDefault="004406A7" w:rsidP="00EA05AF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7" w:tgtFrame="_blank" w:history="1">
        <w:r w:rsidR="00CD2CCA" w:rsidRPr="00CD2CCA">
          <w:t>2016 Bank Performance Scorecard</w:t>
        </w:r>
      </w:hyperlink>
      <w:r w:rsidR="00CD2CCA">
        <w:t> (#10 in the $50 billion to $75</w:t>
      </w:r>
      <w:r w:rsidR="00CD2CCA" w:rsidRPr="00CD2CCA">
        <w:t xml:space="preserve"> billion </w:t>
      </w:r>
      <w:r w:rsidR="00CD2CCA">
        <w:t xml:space="preserve">asset </w:t>
      </w:r>
      <w:r w:rsidR="00CD2CCA" w:rsidRPr="00CD2CCA">
        <w:t>category), Bank Director magazine</w:t>
      </w:r>
    </w:p>
    <w:p w:rsidR="00CD2CCA" w:rsidRPr="000B5F5D" w:rsidRDefault="00CD2CCA" w:rsidP="00EA05AF">
      <w:pPr>
        <w:pStyle w:val="ListParagraph"/>
        <w:numPr>
          <w:ilvl w:val="0"/>
          <w:numId w:val="1"/>
        </w:numPr>
        <w:spacing w:line="360" w:lineRule="auto"/>
        <w:jc w:val="both"/>
      </w:pPr>
      <w:r>
        <w:t>Ranked #4 Best companies for Diversity in Texas.</w:t>
      </w:r>
    </w:p>
    <w:sectPr w:rsidR="00CD2CCA" w:rsidRPr="000B5F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6A7" w:rsidRDefault="004406A7" w:rsidP="004164F2">
      <w:pPr>
        <w:spacing w:after="0" w:line="240" w:lineRule="auto"/>
      </w:pPr>
      <w:r>
        <w:separator/>
      </w:r>
    </w:p>
  </w:endnote>
  <w:endnote w:type="continuationSeparator" w:id="0">
    <w:p w:rsidR="004406A7" w:rsidRDefault="004406A7" w:rsidP="0041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4F2" w:rsidRPr="0056424E" w:rsidRDefault="004164F2" w:rsidP="004164F2">
    <w:pPr>
      <w:pStyle w:val="Footer"/>
      <w:rPr>
        <w:rFonts w:ascii="Times New Roman" w:hAnsi="Times New Roman" w:cs="Times New Roman"/>
        <w:sz w:val="24"/>
        <w:szCs w:val="24"/>
      </w:rPr>
    </w:pPr>
    <w:r w:rsidRPr="0056424E">
      <w:rPr>
        <w:rFonts w:ascii="Times New Roman" w:hAnsi="Times New Roman" w:cs="Times New Roman"/>
        <w:sz w:val="24"/>
        <w:szCs w:val="24"/>
      </w:rPr>
      <w:t>Section 602 – Group 11</w:t>
    </w:r>
  </w:p>
  <w:p w:rsidR="004164F2" w:rsidRPr="0056424E" w:rsidRDefault="004164F2" w:rsidP="004164F2">
    <w:pPr>
      <w:pStyle w:val="Footer"/>
      <w:rPr>
        <w:rFonts w:ascii="Times New Roman" w:hAnsi="Times New Roman" w:cs="Times New Roman"/>
        <w:sz w:val="24"/>
        <w:szCs w:val="24"/>
      </w:rPr>
    </w:pPr>
    <w:r w:rsidRPr="0056424E">
      <w:rPr>
        <w:rFonts w:ascii="Times New Roman" w:hAnsi="Times New Roman" w:cs="Times New Roman"/>
        <w:sz w:val="24"/>
        <w:szCs w:val="24"/>
      </w:rPr>
      <w:t>Hirt, Rafi, and Kulshrestha</w:t>
    </w:r>
  </w:p>
  <w:p w:rsidR="004164F2" w:rsidRPr="0056424E" w:rsidRDefault="004164F2" w:rsidP="004164F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Organizational Description</w:t>
    </w:r>
  </w:p>
  <w:p w:rsidR="004164F2" w:rsidRPr="0056424E" w:rsidRDefault="004164F2" w:rsidP="004164F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2/8</w:t>
    </w:r>
    <w:r w:rsidRPr="0056424E">
      <w:rPr>
        <w:rFonts w:ascii="Times New Roman" w:hAnsi="Times New Roman" w:cs="Times New Roman"/>
        <w:sz w:val="24"/>
        <w:szCs w:val="24"/>
      </w:rPr>
      <w:t>/2017</w:t>
    </w:r>
  </w:p>
  <w:p w:rsidR="004164F2" w:rsidRPr="0056424E" w:rsidRDefault="004164F2" w:rsidP="004164F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Version 1</w:t>
    </w:r>
  </w:p>
  <w:p w:rsidR="004164F2" w:rsidRDefault="004164F2">
    <w:pPr>
      <w:pStyle w:val="Footer"/>
    </w:pPr>
  </w:p>
  <w:p w:rsidR="004164F2" w:rsidRDefault="00416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6A7" w:rsidRDefault="004406A7" w:rsidP="004164F2">
      <w:pPr>
        <w:spacing w:after="0" w:line="240" w:lineRule="auto"/>
      </w:pPr>
      <w:r>
        <w:separator/>
      </w:r>
    </w:p>
  </w:footnote>
  <w:footnote w:type="continuationSeparator" w:id="0">
    <w:p w:rsidR="004406A7" w:rsidRDefault="004406A7" w:rsidP="0041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F680D"/>
    <w:multiLevelType w:val="hybridMultilevel"/>
    <w:tmpl w:val="55283CA8"/>
    <w:lvl w:ilvl="0" w:tplc="A5B21D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B1064"/>
    <w:multiLevelType w:val="hybridMultilevel"/>
    <w:tmpl w:val="339C64D4"/>
    <w:lvl w:ilvl="0" w:tplc="6E5AE6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B3A35"/>
    <w:multiLevelType w:val="multilevel"/>
    <w:tmpl w:val="839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D4846"/>
    <w:multiLevelType w:val="hybridMultilevel"/>
    <w:tmpl w:val="DB2CBF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NLM0NzYDMY2NlXSUglOLizPz80AKjGoBDq7JMywAAAA="/>
  </w:docVars>
  <w:rsids>
    <w:rsidRoot w:val="008B1BFE"/>
    <w:rsid w:val="000B5F5D"/>
    <w:rsid w:val="000E51B2"/>
    <w:rsid w:val="001264FD"/>
    <w:rsid w:val="001A2A2C"/>
    <w:rsid w:val="001B33AF"/>
    <w:rsid w:val="002164B0"/>
    <w:rsid w:val="00226243"/>
    <w:rsid w:val="00231203"/>
    <w:rsid w:val="00244404"/>
    <w:rsid w:val="00274144"/>
    <w:rsid w:val="00321561"/>
    <w:rsid w:val="003479FD"/>
    <w:rsid w:val="003F3E56"/>
    <w:rsid w:val="004164F2"/>
    <w:rsid w:val="004406A7"/>
    <w:rsid w:val="004B6693"/>
    <w:rsid w:val="00562162"/>
    <w:rsid w:val="0056398B"/>
    <w:rsid w:val="005E701F"/>
    <w:rsid w:val="006A3460"/>
    <w:rsid w:val="007231C4"/>
    <w:rsid w:val="00755985"/>
    <w:rsid w:val="007C4710"/>
    <w:rsid w:val="008B1BFE"/>
    <w:rsid w:val="008E012F"/>
    <w:rsid w:val="0095135B"/>
    <w:rsid w:val="009A03AB"/>
    <w:rsid w:val="009B5369"/>
    <w:rsid w:val="009C1944"/>
    <w:rsid w:val="00AF14E3"/>
    <w:rsid w:val="00B15859"/>
    <w:rsid w:val="00B61EA8"/>
    <w:rsid w:val="00BE2427"/>
    <w:rsid w:val="00C41757"/>
    <w:rsid w:val="00C53A6F"/>
    <w:rsid w:val="00C65A70"/>
    <w:rsid w:val="00CD2CCA"/>
    <w:rsid w:val="00D153BD"/>
    <w:rsid w:val="00D90F58"/>
    <w:rsid w:val="00DD6F17"/>
    <w:rsid w:val="00EA05AF"/>
    <w:rsid w:val="00EB3FE8"/>
    <w:rsid w:val="00F3301F"/>
    <w:rsid w:val="00F47118"/>
    <w:rsid w:val="00FE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555A"/>
  <w15:chartTrackingRefBased/>
  <w15:docId w15:val="{BC067683-1B48-430D-ACB0-D1D34AFB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2CC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2CC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16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4F2"/>
  </w:style>
  <w:style w:type="paragraph" w:styleId="Footer">
    <w:name w:val="footer"/>
    <w:basedOn w:val="Normal"/>
    <w:link w:val="FooterChar"/>
    <w:uiPriority w:val="99"/>
    <w:unhideWhenUsed/>
    <w:rsid w:val="00416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4F2"/>
  </w:style>
  <w:style w:type="character" w:customStyle="1" w:styleId="apple-converted-space">
    <w:name w:val="apple-converted-space"/>
    <w:basedOn w:val="DefaultParagraphFont"/>
    <w:rsid w:val="0056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ankdirector.com/index.php/magazine/archives/3rd-quarter-2016/2016-bank-performance-scorec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Pulin Kulshrestha</dc:creator>
  <cp:keywords/>
  <dc:description/>
  <cp:lastModifiedBy>Parvez Rafi</cp:lastModifiedBy>
  <cp:revision>36</cp:revision>
  <dcterms:created xsi:type="dcterms:W3CDTF">2017-02-07T04:56:00Z</dcterms:created>
  <dcterms:modified xsi:type="dcterms:W3CDTF">2017-02-09T12:02:00Z</dcterms:modified>
</cp:coreProperties>
</file>