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50.png" ContentType="image/png"/>
  <Override PartName="/word/media/rId42.jpg" ContentType="image/jpeg"/>
  <Override PartName="/word/media/rId43.jpg" ContentType="image/jpeg"/>
  <Override PartName="/word/media/rId44.jpg" ContentType="image/jpeg"/>
  <Override PartName="/word/media/rId45.jpg" ContentType="image/jpeg"/>
  <Override PartName="/word/media/rId46.jpg" ContentType="image/jpeg"/>
  <Override PartName="/word/media/rId47.jpg" ContentType="image/jpeg"/>
  <Override PartName="/word/media/rId4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April</w:t>
      </w:r>
      <w:r>
        <w:t xml:space="preserve"> </w:t>
      </w:r>
      <w:r>
        <w:t xml:space="preserve">11,</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Then I obtained pure cultures for 7 different observed morphotypes. I created a crystal violet, gram, and Maneval’s stain slides for each morphotype. After taking microscopic photos, I measured the length, width, and area for each microbe using the ImageJ software and Fiji platform.</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at 37</w:t>
      </w:r>
      <m:oMath>
        <m:sSup>
          <m:e>
            <m:r>
              <m:t/>
            </m:r>
          </m:e>
          <m:sup>
            <m:r>
              <m:t>∘</m:t>
            </m:r>
          </m:sup>
        </m:sSup>
      </m:oMath>
      <w:r>
        <w:t xml:space="preserve">C,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Leica DM500 light microscope and observed each slide at 100x magnification under immersion oil.</w:t>
      </w:r>
    </w:p>
    <w:p>
      <w:pPr>
        <w:pStyle w:val="Heading3"/>
      </w:pPr>
      <w:bookmarkStart w:id="28" w:name="dna-extraction-pcr-amplification-and-gel-electrophoresis"/>
      <w:bookmarkEnd w:id="28"/>
      <w:r>
        <w:t xml:space="preserve">DNA Extraction, PCR Amplification and Gel Electrophoresis</w:t>
      </w:r>
    </w:p>
    <w:p>
      <w:pPr>
        <w:pStyle w:val="FirstParagraph"/>
      </w:pPr>
      <w:r>
        <w:t xml:space="preserve">I followed the standard DNA extraction protocol for bacterial cells as provided in the SigmaREDExtract n’ Amp Plant Kit. For the PCR Amplification, the PCR recipe per reaction mixture is as follows: 4 µL template DNA, 10 µL Amp solution, 1 µL of 10µM 27f primer, 1 µL 10µM 1492r primer, 1 µL 1M BSA, and 3µL PCR H20. The temperature and run time for each PCR cycle are as follows: 3min at 94</w:t>
      </w:r>
      <m:oMath>
        <m:sSup>
          <m:e>
            <m:r>
              <m:t/>
            </m:r>
          </m:e>
          <m:sup>
            <m:r>
              <m:t>∘</m:t>
            </m:r>
          </m:sup>
        </m:sSup>
      </m:oMath>
      <w:r>
        <w:t xml:space="preserve">C, 30 seconds at 94</w:t>
      </w:r>
      <m:oMath>
        <m:sSup>
          <m:e>
            <m:r>
              <m:t/>
            </m:r>
          </m:e>
          <m:sup>
            <m:r>
              <m:t>∘</m:t>
            </m:r>
          </m:sup>
        </m:sSup>
      </m:oMath>
      <w:r>
        <w:t xml:space="preserve">C (35 times), 30 seconds at 55</w:t>
      </w:r>
      <m:oMath>
        <m:sSup>
          <m:e>
            <m:r>
              <m:t/>
            </m:r>
          </m:e>
          <m:sup>
            <m:r>
              <m:t>∘</m:t>
            </m:r>
          </m:sup>
        </m:sSup>
      </m:oMath>
      <w:r>
        <w:t xml:space="preserve">C (35 times), 2 minutes at 72</w:t>
      </w:r>
      <m:oMath>
        <m:sSup>
          <m:e>
            <m:r>
              <m:t/>
            </m:r>
          </m:e>
          <m:sup>
            <m:r>
              <m:t>∘</m:t>
            </m:r>
          </m:sup>
        </m:sSup>
      </m:oMath>
      <w:r>
        <w:t xml:space="preserve">C (35 times), 10 minutes at 72</w:t>
      </w:r>
      <m:oMath>
        <m:sSup>
          <m:e>
            <m:r>
              <m:t/>
            </m:r>
          </m:e>
          <m:sup>
            <m:r>
              <m:t>∘</m:t>
            </m:r>
          </m:sup>
        </m:sSup>
      </m:oMath>
      <w:r>
        <w:t xml:space="preserve">C, and holding at 4</w:t>
      </w:r>
      <m:oMath>
        <m:sSup>
          <m:e>
            <m:r>
              <m:t/>
            </m:r>
          </m:e>
          <m:sup>
            <m:r>
              <m:t>∘</m:t>
            </m:r>
          </m:sup>
        </m:sSup>
      </m:oMath>
      <w:r>
        <w:t xml:space="preserve">C. I checked for successful PCR amplification using 1% agarose gel. The gel was run for 30 min at 100V. Products were visualized with SYBR Safe and UV light. The ladder in image is a 1kb ladder (Bio-Rad Laboratories, Inc). After checking for successful amplification using gel electrophoresis, PCR products were cleaned with Invitrogen ExoSAP. They were sent for unidirectional Sanger sequencing at MCLAB located in South San Francisco, CA.</w:t>
      </w:r>
    </w:p>
    <w:p>
      <w:pPr>
        <w:pStyle w:val="Heading2"/>
      </w:pPr>
      <w:bookmarkStart w:id="29" w:name="computational-analysis"/>
      <w:bookmarkEnd w:id="29"/>
      <w:r>
        <w:t xml:space="preserve">Computational Analysis</w:t>
      </w:r>
    </w:p>
    <w:p>
      <w:pPr>
        <w:pStyle w:val="Heading3"/>
      </w:pPr>
      <w:bookmarkStart w:id="30" w:name="culturing-analysis"/>
      <w:bookmarkEnd w:id="30"/>
      <w:r>
        <w:t xml:space="preserve">Culturing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3"/>
      </w:pPr>
      <w:bookmarkStart w:id="31" w:name="microscopy-analysis"/>
      <w:bookmarkEnd w:id="31"/>
      <w:r>
        <w:t xml:space="preserve">Microscopy Analysis</w:t>
      </w:r>
    </w:p>
    <w:p>
      <w:pPr>
        <w:pStyle w:val="FirstParagraph"/>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w:t>
      </w:r>
      <w:r>
        <w:t xml:space="preserve"> </w:t>
      </w:r>
      <w:r>
        <w:t xml:space="preserve">(7)</w:t>
      </w:r>
      <w:r>
        <w:t xml:space="preserve">. I uploaded the captured micrograph and then proceeded to calibrate and scale each micrograph to 10 m. I changed each image to an inverted, binary form and recorded the length, width, and area for 5 cells per morphotype. I created a montage with appropriate labels of each micrograph taken for each staining method per morphotype. Using R and R studio, I uploaded these montages to my report with appropriate captions. I also analyzed the mean and standard deviation for length, width, and cell surface area per morphotype. Finally, I created a markdown table displaying the appropriate characteristics I observed to be present per morphotype.</w:t>
      </w:r>
    </w:p>
    <w:p>
      <w:pPr>
        <w:pStyle w:val="Heading3"/>
      </w:pPr>
      <w:bookmarkStart w:id="32" w:name="molecular-analysis"/>
      <w:bookmarkEnd w:id="32"/>
      <w:r>
        <w:t xml:space="preserve">Molecular Analysis</w:t>
      </w:r>
    </w:p>
    <w:p>
      <w:pPr>
        <w:pStyle w:val="FirstParagraph"/>
      </w:pPr>
      <w:r>
        <w:t xml:space="preserve">I analyzed the sequence data using the program MEGA7. The Molecular Evolutionary Genetic Analysis (MEGA) software is an integrated desktop tool designed to preform sequence alignments, infer phylogenetic trees, mine web-based databases, estimate rates of molecular evolution, and test evolutionary hypotheses</w:t>
      </w:r>
      <w:r>
        <w:t xml:space="preserve"> </w:t>
      </w:r>
      <w:r>
        <w:t xml:space="preserve">(8)</w:t>
      </w:r>
      <w:r>
        <w:t xml:space="preserve">. Using MEGA7, I manually trimmed raw Sanger sequences as well as noted which sequences failed. I exported the trimmed sequences to Fasta. Using the ClustalW program, I aligned the trimmed sequences along with the sequence for the outgroup, Thermus aquaticus. Using the saved alignment, I used the Maximum Likelihood method to infer their phylogeny. Using NCBI Blast and the GenBank nucleotide database, I searched for the identities and accompanying descriptions for each non-failed, trimmed sequence.</w:t>
      </w:r>
    </w:p>
    <w:p>
      <w:pPr>
        <w:pStyle w:val="Heading3"/>
      </w:pPr>
      <w:bookmarkStart w:id="33" w:name="phylogenic-analysis-by-maximum-likelihood-method"/>
      <w:bookmarkEnd w:id="33"/>
      <w:r>
        <w:t xml:space="preserve">Phylogenic Analysis by Maximum Likelihood Method</w:t>
      </w:r>
    </w:p>
    <w:p>
      <w:pPr>
        <w:pStyle w:val="FirstParagraph"/>
      </w:pPr>
      <w:r>
        <w:t xml:space="preserve">The evolutionary history was inferred by using the Maximum Likelihood method based on the General Time Reversible model</w:t>
      </w:r>
      <w:r>
        <w:t xml:space="preserve"> </w:t>
      </w:r>
      <w:r>
        <w:t xml:space="preserve">(9)</w:t>
      </w:r>
      <w:r>
        <w:t xml:space="preserve">. The tree with the highest log likelihood (-1393.40) is shown. The percentage of trees in which the associated taxa clustered together is shown next to the branches. Initial tree(s) for the heuristic search were obtained automatically by applying Neighbor-Join and BioNJ algorithms to a matrix of pairwise distances estimated using the Maximum Composite Likelihood (MCL) approach, and then selecting the topology with superior log likelihood value. A discrete Gamma distribution was used to model evolutionary rate differences among sites (5 categories (+G, parameter = 200.0000)). The rate variation model allowed for some sites to be evolutionarily invariable ([+I], 0.00% sites). The tree is drawn to scale, with branch lengths measured in the number of substitutions per site. The analysis involved 6 nucleotide sequences. Codon positions included were 1st+2nd+3rd+Noncoding. All positions containing gaps and missing data were eliminated. There were a total of 250 positions in the final dataset. Evolutionary analyses were conducted in MEGA7</w:t>
      </w:r>
      <w:r>
        <w:t xml:space="preserve"> </w:t>
      </w:r>
      <w:r>
        <w:t xml:space="preserve">(10)</w:t>
      </w:r>
      <w:r>
        <w:t xml:space="preserve">.</w:t>
      </w:r>
    </w:p>
    <w:p>
      <w:pPr>
        <w:pStyle w:val="Heading1"/>
      </w:pPr>
      <w:bookmarkStart w:id="34" w:name="results"/>
      <w:bookmarkEnd w:id="34"/>
      <w:r>
        <w:t xml:space="preserve">Results</w:t>
      </w:r>
    </w:p>
    <w:p>
      <w:pPr>
        <w:pStyle w:val="Heading2"/>
      </w:pPr>
      <w:bookmarkStart w:id="35" w:name="colony-counts"/>
      <w:bookmarkEnd w:id="35"/>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6" w:name="detecting-morphotypes"/>
      <w:bookmarkEnd w:id="36"/>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Heading2"/>
      </w:pPr>
      <w:bookmarkStart w:id="37" w:name="categorizing-morphotypes-with-microscopy"/>
      <w:bookmarkEnd w:id="37"/>
      <w:r>
        <w:t xml:space="preserve">Categorizing Morphotypes with Microscopy</w:t>
      </w:r>
    </w:p>
    <w:p>
      <w:pPr>
        <w:pStyle w:val="FirstParagraph"/>
      </w:pPr>
      <w:r>
        <w:t xml:space="preserve">The predictions I made for my selected morphotypes based on the staining results are as follows: morphotype #1 is Azomonas agilis, morphotype #2 is Staphylococcus aureus, morphotype #3 is a Acidovorax spp., morphotype #4 is a Streptococcus spp., morphotype #5 is Bacillus subtilis, morphotype #6 is a Pseudomonas spp., and morphotype #7 is a Bacilius spp. (Table 2). From all of microbes I analyzed, only the</w:t>
      </w:r>
      <w:r>
        <w:t xml:space="preserve"> </w:t>
      </w:r>
      <m:oMath>
        <m:sSup>
          <m:e>
            <m:r>
              <m:t>3</m:t>
            </m:r>
          </m:e>
          <m:sup>
            <m:r>
              <m:t>r</m:t>
            </m:r>
            <m:r>
              <m:t>d</m:t>
            </m:r>
          </m:sup>
        </m:sSup>
      </m:oMath>
      <w:r>
        <w:t xml:space="preserve"> </w:t>
      </w:r>
      <w:r>
        <w:t xml:space="preserve">and</w:t>
      </w:r>
      <w:r>
        <w:t xml:space="preserve"> </w:t>
      </w:r>
      <m:oMath>
        <m:sSup>
          <m:e>
            <m:r>
              <m:t>4</m:t>
            </m:r>
          </m:e>
          <m:sup>
            <m:r>
              <m:t>t</m:t>
            </m:r>
            <m:r>
              <m:t>h</m:t>
            </m:r>
          </m:sup>
        </m:sSup>
      </m:oMath>
      <w:r>
        <w:t xml:space="preserve"> </w:t>
      </w:r>
      <w:r>
        <w:t xml:space="preserve">morphotypes were gram positive. In addition, the only cocci shaped bacteria I noted were morphotypes #1 and #2 (Fig.3, Fig.4).</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Heading2"/>
      </w:pPr>
      <w:bookmarkStart w:id="38" w:name="culturing-results"/>
      <w:bookmarkEnd w:id="38"/>
      <w:r>
        <w:t xml:space="preserve">Culturing Results</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mena_area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MOTU_ID</w:t>
            </w:r>
          </w:p>
        </w:tc>
        <w:tc>
          <w:tcPr>
            <w:tcBorders>
              <w:bottom w:val="single"/>
            </w:tcBorders>
            <w:vAlign w:val="bottom"/>
          </w:tcPr>
          <w:p>
            <w:pPr>
              <w:pStyle w:val="Compact"/>
              <w:jc w:val="right"/>
            </w:pPr>
            <w:r>
              <w:t xml:space="preserve">mean_length</w:t>
            </w:r>
          </w:p>
        </w:tc>
        <w:tc>
          <w:tcPr>
            <w:tcBorders>
              <w:bottom w:val="single"/>
            </w:tcBorders>
            <w:vAlign w:val="bottom"/>
          </w:tcPr>
          <w:p>
            <w:pPr>
              <w:pStyle w:val="Compact"/>
              <w:jc w:val="right"/>
            </w:pPr>
            <w:r>
              <w:t xml:space="preserve">sd_length</w:t>
            </w:r>
          </w:p>
        </w:tc>
        <w:tc>
          <w:tcPr>
            <w:tcBorders>
              <w:bottom w:val="single"/>
            </w:tcBorders>
            <w:vAlign w:val="bottom"/>
          </w:tcPr>
          <w:p>
            <w:pPr>
              <w:pStyle w:val="Compact"/>
              <w:jc w:val="right"/>
            </w:pPr>
            <w:r>
              <w:t xml:space="preserve">mean_width</w:t>
            </w:r>
          </w:p>
        </w:tc>
        <w:tc>
          <w:tcPr>
            <w:tcBorders>
              <w:bottom w:val="single"/>
            </w:tcBorders>
            <w:vAlign w:val="bottom"/>
          </w:tcPr>
          <w:p>
            <w:pPr>
              <w:pStyle w:val="Compact"/>
              <w:jc w:val="right"/>
            </w:pPr>
            <w:r>
              <w:t xml:space="preserve">mena_area</w:t>
            </w:r>
          </w:p>
        </w:tc>
        <w:tc>
          <w:tcPr>
            <w:tcBorders>
              <w:bottom w:val="single"/>
            </w:tcBorders>
            <w:vAlign w:val="bottom"/>
          </w:tcPr>
          <w:p>
            <w:pPr>
              <w:pStyle w:val="Compact"/>
              <w:jc w:val="right"/>
            </w:pPr>
            <w:r>
              <w:t xml:space="preserve">sd_area</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0.17</w:t>
            </w:r>
          </w:p>
        </w:tc>
        <w:tc>
          <w:p>
            <w:pPr>
              <w:pStyle w:val="Compact"/>
              <w:jc w:val="right"/>
            </w:pPr>
            <w:r>
              <w:t xml:space="preserve">0.03</w:t>
            </w:r>
          </w:p>
        </w:tc>
      </w:tr>
    </w:tbl>
    <w:p>
      <w:pPr>
        <w:pStyle w:val="BodyText"/>
      </w:pPr>
      <w:r>
        <w:rPr>
          <w:b/>
        </w:rPr>
        <w:t xml:space="preserve">Table 1:</w:t>
      </w:r>
      <w:r>
        <w:t xml:space="preserve"> </w:t>
      </w:r>
      <w:r>
        <w:t xml:space="preserve">Mean and standard deviation for the length, width, and cell surface area per morphotype analyzed.</w:t>
      </w:r>
    </w:p>
    <w:p>
      <w:pPr>
        <w:pStyle w:val="Heading2"/>
      </w:pPr>
      <w:bookmarkStart w:id="41" w:name="microscopy-results"/>
      <w:bookmarkEnd w:id="41"/>
      <w:r>
        <w:t xml:space="preserve">Microscopy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44"/>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45"/>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46"/>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8:</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8"/>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9:</w:t>
      </w:r>
      <w:r>
        <w:t xml:space="preserve"> </w:t>
      </w:r>
      <w:r>
        <w:t xml:space="preserve">Montage imaging of morphotype #7 stained in crystal violet ( Panel A), gram’s stain (Panel B), and Maneval’s stain (Panel 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Gram Positive/Negative</w:t>
            </w:r>
          </w:p>
        </w:tc>
        <w:tc>
          <w:tcPr>
            <w:tcBorders>
              <w:bottom w:val="single"/>
            </w:tcBorders>
            <w:vAlign w:val="bottom"/>
          </w:tcPr>
          <w:p>
            <w:pPr>
              <w:pStyle w:val="Compact"/>
              <w:jc w:val="left"/>
            </w:pPr>
            <w:r>
              <w:t xml:space="preserve">Endospore Yes/No</w:t>
            </w:r>
          </w:p>
        </w:tc>
        <w:tc>
          <w:tcPr>
            <w:tcBorders>
              <w:bottom w:val="single"/>
            </w:tcBorders>
            <w:vAlign w:val="bottom"/>
          </w:tcPr>
          <w:p>
            <w:pPr>
              <w:pStyle w:val="Compact"/>
              <w:jc w:val="left"/>
            </w:pPr>
            <w:r>
              <w:t xml:space="preserve">Capsule Yes/No</w:t>
            </w:r>
          </w:p>
        </w:tc>
      </w:tr>
      <w:tr>
        <w:tc>
          <w:p>
            <w:pPr>
              <w:pStyle w:val="Compact"/>
              <w:jc w:val="left"/>
            </w:pPr>
            <w:r>
              <w:t xml:space="preserve">1</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2</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3</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4</w:t>
            </w:r>
          </w:p>
        </w:tc>
        <w:tc>
          <w:p>
            <w:pPr>
              <w:pStyle w:val="Compact"/>
              <w:jc w:val="left"/>
            </w:pPr>
            <w:r>
              <w:t xml:space="preserve">Gram Negative</w:t>
            </w:r>
          </w:p>
        </w:tc>
        <w:tc>
          <w:p>
            <w:pPr>
              <w:pStyle w:val="Compact"/>
              <w:jc w:val="left"/>
            </w:pPr>
            <w:r>
              <w:t xml:space="preserve">Yes</w:t>
            </w:r>
          </w:p>
        </w:tc>
        <w:tc>
          <w:p>
            <w:pPr>
              <w:pStyle w:val="Compact"/>
              <w:jc w:val="left"/>
            </w:pPr>
            <w:r>
              <w:t xml:space="preserve">N/A</w:t>
            </w:r>
          </w:p>
        </w:tc>
      </w:tr>
      <w:tr>
        <w:tc>
          <w:p>
            <w:pPr>
              <w:pStyle w:val="Compact"/>
              <w:jc w:val="left"/>
            </w:pPr>
            <w:r>
              <w:t xml:space="preserve">5</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6</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7</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bl>
    <w:p>
      <w:pPr>
        <w:pStyle w:val="BodyText"/>
      </w:pPr>
      <w:r>
        <w:rPr>
          <w:b/>
        </w:rPr>
        <w:t xml:space="preserve">Table 2:</w:t>
      </w:r>
      <w:r>
        <w:t xml:space="preserve"> </w:t>
      </w:r>
      <w:r>
        <w:t xml:space="preserve">Detailed descriptions of cell characteristics for all seven morphotypes studied.</w:t>
      </w:r>
    </w:p>
    <w:p>
      <w:pPr>
        <w:pStyle w:val="Heading2"/>
      </w:pPr>
      <w:bookmarkStart w:id="49" w:name="molecular-results"/>
      <w:bookmarkEnd w:id="49"/>
      <w:r>
        <w:t xml:space="preserve">Molecular Results</w:t>
      </w:r>
    </w:p>
    <w:p>
      <w:pPr>
        <w:pStyle w:val="FirstParagraph"/>
      </w:pPr>
      <w:r>
        <w:rPr>
          <w:b/>
        </w:rPr>
        <w:t xml:space="preserve">Figure 10:</w:t>
      </w:r>
    </w:p>
    <w:p>
      <w:pPr>
        <w:pStyle w:val="BodyText"/>
      </w:pPr>
      <w:r>
        <w:rPr>
          <w:b/>
        </w:rPr>
        <w:t xml:space="preserve">Table 3:</w:t>
      </w:r>
    </w:p>
    <w:p>
      <w:pPr>
        <w:pStyle w:val="Figure"/>
      </w:pPr>
      <w:r>
        <w:drawing>
          <wp:inline>
            <wp:extent cx="5334000" cy="4040909"/>
            <wp:effectExtent b="0" l="0" r="0" t="0"/>
            <wp:docPr descr="" title="" id="1" name="Picture"/>
            <a:graphic>
              <a:graphicData uri="http://schemas.openxmlformats.org/drawingml/2006/picture">
                <pic:pic>
                  <pic:nvPicPr>
                    <pic:cNvPr descr="data/images/ML_phylogeny_tree_2.png" id="0" name="Picture"/>
                    <pic:cNvPicPr>
                      <a:picLocks noChangeArrowheads="1" noChangeAspect="1"/>
                    </pic:cNvPicPr>
                  </pic:nvPicPr>
                  <pic:blipFill>
                    <a:blip r:embed="rId50"/>
                    <a:stretch>
                      <a:fillRect/>
                    </a:stretch>
                  </pic:blipFill>
                  <pic:spPr bwMode="auto">
                    <a:xfrm>
                      <a:off x="0" y="0"/>
                      <a:ext cx="5334000" cy="4040909"/>
                    </a:xfrm>
                    <a:prstGeom prst="rect">
                      <a:avLst/>
                    </a:prstGeom>
                    <a:noFill/>
                    <a:ln w="9525">
                      <a:noFill/>
                      <a:headEnd/>
                      <a:tailEnd/>
                    </a:ln>
                  </pic:spPr>
                </pic:pic>
              </a:graphicData>
            </a:graphic>
          </wp:inline>
        </w:drawing>
      </w:r>
    </w:p>
    <w:p>
      <w:pPr>
        <w:pStyle w:val="FirstParagraph"/>
      </w:pPr>
      <w:r>
        <w:rPr>
          <w:b/>
        </w:rPr>
        <w:t xml:space="preserve">Figure 11:</w:t>
      </w:r>
      <w:r>
        <w:t xml:space="preserve"> </w:t>
      </w:r>
      <w:r>
        <w:t xml:space="preserve">Molecular Phylogenetic analysis by Maximum Likelihood method</w:t>
      </w:r>
    </w:p>
    <w:tbl>
      <w:tblPr>
        <w:tblStyle w:val="TableNormal"/>
        <w:tblW w:type="pct" w:w="5000.0"/>
        <w:tblLook w:firstRow="1"/>
      </w:tblPr>
      <w:tblGrid>
        <w:gridCol w:w="1362"/>
        <w:gridCol w:w="1958"/>
        <w:gridCol w:w="1192"/>
        <w:gridCol w:w="1362"/>
        <w:gridCol w:w="1192"/>
        <w:gridCol w:w="851"/>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Morphotype Identity</w:t>
            </w:r>
          </w:p>
        </w:tc>
        <w:tc>
          <w:tcPr>
            <w:tcBorders>
              <w:bottom w:val="single"/>
            </w:tcBorders>
            <w:vAlign w:val="bottom"/>
          </w:tcPr>
          <w:p>
            <w:pPr>
              <w:pStyle w:val="Compact"/>
              <w:jc w:val="left"/>
            </w:pPr>
            <w:r>
              <w:t xml:space="preserve">GenBank ID</w:t>
            </w:r>
          </w:p>
        </w:tc>
        <w:tc>
          <w:tcPr>
            <w:tcBorders>
              <w:bottom w:val="single"/>
            </w:tcBorders>
            <w:vAlign w:val="bottom"/>
          </w:tcPr>
          <w:p>
            <w:pPr>
              <w:pStyle w:val="Compact"/>
              <w:jc w:val="left"/>
            </w:pPr>
            <w:r>
              <w:t xml:space="preserve">Percent Match</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r>
      <w:tr>
        <w:tc>
          <w:p>
            <w:pPr>
              <w:pStyle w:val="Compact"/>
              <w:jc w:val="left"/>
            </w:pPr>
            <w:r>
              <w:t xml:space="preserve">1</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2</w:t>
            </w:r>
          </w:p>
        </w:tc>
        <w:tc>
          <w:p>
            <w:pPr>
              <w:pStyle w:val="Compact"/>
              <w:jc w:val="left"/>
            </w:pPr>
            <w:r>
              <w:t xml:space="preserve">Bacillus spp.</w:t>
            </w:r>
          </w:p>
        </w:tc>
        <w:tc>
          <w:p>
            <w:pPr>
              <w:pStyle w:val="Compact"/>
              <w:jc w:val="left"/>
            </w:pPr>
            <w:r>
              <w:t xml:space="preserve">MH260980. 1</w:t>
            </w:r>
          </w:p>
        </w:tc>
        <w:tc>
          <w:p>
            <w:pPr>
              <w:pStyle w:val="Compact"/>
              <w:jc w:val="left"/>
            </w:pPr>
            <w:r>
              <w:t xml:space="preserve">95%</w:t>
            </w:r>
          </w:p>
        </w:tc>
        <w:tc>
          <w:p>
            <w:pPr>
              <w:pStyle w:val="Compact"/>
              <w:jc w:val="left"/>
            </w:pPr>
            <w:r>
              <w:t xml:space="preserve">80.17%</w:t>
            </w:r>
          </w:p>
        </w:tc>
        <w:tc>
          <w:p>
            <w:pPr>
              <w:pStyle w:val="Compact"/>
              <w:jc w:val="left"/>
            </w:pPr>
            <w:r>
              <w:t xml:space="preserve">8e-94</w:t>
            </w:r>
          </w:p>
        </w:tc>
      </w:tr>
      <w:tr>
        <w:tc>
          <w:p>
            <w:pPr>
              <w:pStyle w:val="Compact"/>
              <w:jc w:val="left"/>
            </w:pPr>
            <w:r>
              <w:t xml:space="preserve">3</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4</w:t>
            </w:r>
          </w:p>
        </w:tc>
        <w:tc>
          <w:p>
            <w:pPr>
              <w:pStyle w:val="Compact"/>
              <w:jc w:val="left"/>
            </w:pPr>
            <w:r>
              <w:t xml:space="preserve">Pseudomonas spp.</w:t>
            </w:r>
          </w:p>
        </w:tc>
        <w:tc>
          <w:p>
            <w:pPr>
              <w:pStyle w:val="Compact"/>
              <w:jc w:val="left"/>
            </w:pPr>
            <w:r>
              <w:t xml:space="preserve">JF313049.1</w:t>
            </w:r>
          </w:p>
        </w:tc>
        <w:tc>
          <w:p>
            <w:pPr>
              <w:pStyle w:val="Compact"/>
              <w:jc w:val="left"/>
            </w:pPr>
            <w:r>
              <w:t xml:space="preserve">100%</w:t>
            </w:r>
          </w:p>
        </w:tc>
        <w:tc>
          <w:p>
            <w:pPr>
              <w:pStyle w:val="Compact"/>
              <w:jc w:val="left"/>
            </w:pPr>
            <w:r>
              <w:t xml:space="preserve">94.82%</w:t>
            </w:r>
          </w:p>
        </w:tc>
        <w:tc>
          <w:p>
            <w:pPr>
              <w:pStyle w:val="Compact"/>
              <w:jc w:val="left"/>
            </w:pPr>
            <w:r>
              <w:t xml:space="preserve">8e-147</w:t>
            </w:r>
          </w:p>
        </w:tc>
      </w:tr>
      <w:tr>
        <w:tc>
          <w:p>
            <w:pPr>
              <w:pStyle w:val="Compact"/>
              <w:jc w:val="left"/>
            </w:pPr>
            <w:r>
              <w:t xml:space="preserve">5</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6</w:t>
            </w:r>
          </w:p>
        </w:tc>
        <w:tc>
          <w:p>
            <w:pPr>
              <w:pStyle w:val="Compact"/>
              <w:jc w:val="left"/>
            </w:pPr>
            <w:r>
              <w:t xml:space="preserve">Pseudomonas syrinae</w:t>
            </w:r>
          </w:p>
        </w:tc>
        <w:tc>
          <w:p>
            <w:pPr>
              <w:pStyle w:val="Compact"/>
              <w:jc w:val="left"/>
            </w:pPr>
            <w:r>
              <w:t xml:space="preserve">MK072676</w:t>
            </w:r>
          </w:p>
        </w:tc>
        <w:tc>
          <w:p>
            <w:pPr>
              <w:pStyle w:val="Compact"/>
              <w:jc w:val="left"/>
            </w:pPr>
            <w:r>
              <w:t xml:space="preserve">92%</w:t>
            </w:r>
          </w:p>
        </w:tc>
        <w:tc>
          <w:p>
            <w:pPr>
              <w:pStyle w:val="Compact"/>
              <w:jc w:val="left"/>
            </w:pPr>
            <w:r>
              <w:t xml:space="preserve">90.72%</w:t>
            </w:r>
          </w:p>
        </w:tc>
        <w:tc>
          <w:p>
            <w:pPr>
              <w:pStyle w:val="Compact"/>
              <w:jc w:val="left"/>
            </w:pPr>
            <w:r>
              <w:t xml:space="preserve">7e-164</w:t>
            </w:r>
          </w:p>
        </w:tc>
      </w:tr>
      <w:tr>
        <w:tc>
          <w:p>
            <w:pPr>
              <w:pStyle w:val="Compact"/>
              <w:jc w:val="left"/>
            </w:pPr>
            <w:r>
              <w:t xml:space="preserve">7</w:t>
            </w:r>
          </w:p>
        </w:tc>
        <w:tc>
          <w:p>
            <w:pPr>
              <w:pStyle w:val="Compact"/>
              <w:jc w:val="left"/>
            </w:pPr>
            <w:r>
              <w:t xml:space="preserve">Bacillus spp.</w:t>
            </w:r>
          </w:p>
        </w:tc>
        <w:tc>
          <w:p>
            <w:pPr>
              <w:pStyle w:val="Compact"/>
              <w:jc w:val="left"/>
            </w:pPr>
            <w:r>
              <w:t xml:space="preserve">FJ555568.1</w:t>
            </w:r>
          </w:p>
        </w:tc>
        <w:tc>
          <w:p>
            <w:pPr>
              <w:pStyle w:val="Compact"/>
              <w:jc w:val="left"/>
            </w:pPr>
            <w:r>
              <w:t xml:space="preserve">82%</w:t>
            </w:r>
          </w:p>
        </w:tc>
        <w:tc>
          <w:p>
            <w:pPr>
              <w:pStyle w:val="Compact"/>
              <w:jc w:val="left"/>
            </w:pPr>
            <w:r>
              <w:t xml:space="preserve">89.86%</w:t>
            </w:r>
          </w:p>
        </w:tc>
        <w:tc>
          <w:p>
            <w:pPr>
              <w:pStyle w:val="Compact"/>
              <w:jc w:val="left"/>
            </w:pPr>
            <w:r>
              <w:t xml:space="preserve">9e-138</w:t>
            </w:r>
          </w:p>
        </w:tc>
      </w:tr>
      <w:tr>
        <w:tc>
          <w:p>
            <w:pPr>
              <w:pStyle w:val="Compact"/>
              <w:jc w:val="left"/>
            </w:pPr>
            <w:r>
              <w:t xml:space="preserve">Negative</w:t>
            </w:r>
          </w:p>
        </w:tc>
        <w:tc>
          <w:p>
            <w:pPr>
              <w:pStyle w:val="Compact"/>
              <w:jc w:val="left"/>
            </w:pPr>
            <w:r>
              <w:t xml:space="preserve">Uncultured bacterium</w:t>
            </w:r>
          </w:p>
        </w:tc>
        <w:tc>
          <w:p>
            <w:pPr>
              <w:pStyle w:val="Compact"/>
              <w:jc w:val="left"/>
            </w:pPr>
            <w:r>
              <w:t xml:space="preserve">GU510538.1</w:t>
            </w:r>
          </w:p>
        </w:tc>
        <w:tc>
          <w:p>
            <w:pPr>
              <w:pStyle w:val="Compact"/>
              <w:jc w:val="left"/>
            </w:pPr>
            <w:r>
              <w:t xml:space="preserve">82%</w:t>
            </w:r>
          </w:p>
        </w:tc>
        <w:tc>
          <w:p>
            <w:pPr>
              <w:pStyle w:val="Compact"/>
              <w:jc w:val="left"/>
            </w:pPr>
            <w:r>
              <w:t xml:space="preserve">100.00%</w:t>
            </w:r>
          </w:p>
        </w:tc>
        <w:tc>
          <w:p>
            <w:pPr>
              <w:pStyle w:val="Compact"/>
              <w:jc w:val="left"/>
            </w:pPr>
            <w:r>
              <w:t xml:space="preserve">5e-09</w:t>
            </w:r>
          </w:p>
        </w:tc>
      </w:tr>
    </w:tbl>
    <w:p>
      <w:pPr>
        <w:pStyle w:val="BodyText"/>
      </w:pPr>
      <w:r>
        <w:rPr>
          <w:b/>
        </w:rPr>
        <w:t xml:space="preserve">Table 4:</w:t>
      </w:r>
      <w:r>
        <w:t xml:space="preserve"> </w:t>
      </w:r>
      <w:r>
        <w:t xml:space="preserve">Morphotype identities from BLAST sequence results with accompaning GenBank ID, percent match, query cover, and e value.</w:t>
      </w:r>
    </w:p>
    <w:p>
      <w:pPr>
        <w:pStyle w:val="Heading1"/>
      </w:pPr>
      <w:bookmarkStart w:id="51" w:name="discussion"/>
      <w:bookmarkEnd w:id="51"/>
      <w:r>
        <w:t xml:space="preserve">Discussion</w:t>
      </w:r>
    </w:p>
    <w:p>
      <w:pPr>
        <w:pStyle w:val="Heading2"/>
      </w:pPr>
      <w:bookmarkStart w:id="52" w:name="culturing"/>
      <w:bookmarkEnd w:id="52"/>
      <w:r>
        <w:t xml:space="preserve">Culturing</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(11)</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(12)</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2"/>
      </w:pPr>
      <w:bookmarkStart w:id="53" w:name="microscopy"/>
      <w:bookmarkEnd w:id="53"/>
      <w:r>
        <w:t xml:space="preserve">Microscopy</w:t>
      </w:r>
    </w:p>
    <w:p>
      <w:pPr>
        <w:pStyle w:val="Heading2"/>
      </w:pPr>
      <w:bookmarkStart w:id="54" w:name="molecular"/>
      <w:bookmarkEnd w:id="54"/>
      <w:r>
        <w:t xml:space="preserve">Molecular</w:t>
      </w:r>
    </w:p>
    <w:p>
      <w:pPr>
        <w:pStyle w:val="Heading1"/>
      </w:pPr>
      <w:bookmarkStart w:id="55" w:name="sources-cited"/>
      <w:bookmarkEnd w:id="55"/>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Schindelin J, Arganda-Carreras I, Frise E, Kaynig V, Longair M, Pietzsch T, Preibisch S, Rueden C, Saalfeld S, Schmid B, others. 2012. Fiji: An open-source platform for biological-image analysis. Nature methods 9:676.</w:t>
      </w:r>
    </w:p>
    <w:p>
      <w:pPr>
        <w:pStyle w:val="Bibliography"/>
      </w:pPr>
      <w:r>
        <w:t xml:space="preserve">8. Kumar S, Nei M, Dudley J, Tamura K. 2008. MEGA: A biologist-centric software for evolutionary analysis of dna and protein sequences. Briefings in bioinformatics 9:299–306.</w:t>
      </w:r>
    </w:p>
    <w:p>
      <w:pPr>
        <w:pStyle w:val="Bibliography"/>
      </w:pPr>
      <w:r>
        <w:t xml:space="preserve">9. Nei M, Kumar S. 2000. Molecular evolution and phylogenetics. Oxford university press.</w:t>
      </w:r>
    </w:p>
    <w:p>
      <w:pPr>
        <w:pStyle w:val="Bibliography"/>
      </w:pPr>
      <w:r>
        <w:t xml:space="preserve">10. Kumar S, Stecher G, Tamura K. 2016. MEGA7: Molecular evolutionary genetics analysis version 7.0 for bigger datasets. Molecular biology and evolution 33:1870–1874.</w:t>
      </w:r>
    </w:p>
    <w:p>
      <w:pPr>
        <w:pStyle w:val="Bibliography"/>
      </w:pPr>
      <w:r>
        <w:t xml:space="preserve">11.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12. Mitchell CE, Power AG. 2003. Release of invasive plants from fungal and viral pathogens. Nature 421:625.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087d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image" Id="rId46" Target="media/rId46.jpg" /><Relationship Type="http://schemas.openxmlformats.org/officeDocument/2006/relationships/image" Id="rId47" Target="media/rId47.jpg" /><Relationship Type="http://schemas.openxmlformats.org/officeDocument/2006/relationships/image" Id="rId48" Target="media/rId4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Plants at the University of San Francisco Lone Mountain Campus</dc:title>
  <dc:creator>Isabella Finney</dc:creator>
  <dcterms:created xsi:type="dcterms:W3CDTF">2019-04-18T10:56:46Z</dcterms:created>
  <dcterms:modified xsi:type="dcterms:W3CDTF">2019-04-18T10:56:46Z</dcterms:modified>
</cp:coreProperties>
</file>