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jpg" ContentType="image/jpeg"/>
  <Override PartName="/word/media/rId36.jpg" ContentType="image/jpeg"/>
  <Override PartName="/word/media/rId37.jpg" ContentType="image/jpeg"/>
  <Override PartName="/word/media/rId38.jpg" ContentType="image/jpeg"/>
  <Override PartName="/word/media/rId39.jpg" ContentType="image/jpeg"/>
  <Override PartName="/word/media/rId40.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February</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light microscope and observed at 100x magnification under immersion oil.</w:t>
      </w:r>
    </w:p>
    <w:p>
      <w:pPr>
        <w:pStyle w:val="Heading2"/>
      </w:pPr>
      <w:bookmarkStart w:id="28" w:name="computational-analysis"/>
      <w:bookmarkEnd w:id="28"/>
      <w:r>
        <w:t xml:space="preserve">Computational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1"/>
      </w:pPr>
      <w:bookmarkStart w:id="29" w:name="results"/>
      <w:bookmarkEnd w:id="29"/>
      <w:r>
        <w:t xml:space="preserve">Results</w:t>
      </w:r>
    </w:p>
    <w:p>
      <w:pPr>
        <w:pStyle w:val="Heading2"/>
      </w:pPr>
      <w:bookmarkStart w:id="30" w:name="colony-counts"/>
      <w:bookmarkEnd w:id="30"/>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1" w:name="detecting-morphotypes"/>
      <w:bookmarkEnd w:id="31"/>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mena_area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MOTU_ID</w:t>
            </w:r>
          </w:p>
        </w:tc>
        <w:tc>
          <w:tcPr>
            <w:tcBorders>
              <w:bottom w:val="single"/>
            </w:tcBorders>
            <w:vAlign w:val="bottom"/>
          </w:tcPr>
          <w:p>
            <w:pPr>
              <w:pStyle w:val="Compact"/>
              <w:jc w:val="right"/>
            </w:pPr>
            <w:r>
              <w:t xml:space="preserve">mean_length</w:t>
            </w:r>
          </w:p>
        </w:tc>
        <w:tc>
          <w:tcPr>
            <w:tcBorders>
              <w:bottom w:val="single"/>
            </w:tcBorders>
            <w:vAlign w:val="bottom"/>
          </w:tcPr>
          <w:p>
            <w:pPr>
              <w:pStyle w:val="Compact"/>
              <w:jc w:val="right"/>
            </w:pPr>
            <w:r>
              <w:t xml:space="preserve">sd_length</w:t>
            </w:r>
          </w:p>
        </w:tc>
        <w:tc>
          <w:tcPr>
            <w:tcBorders>
              <w:bottom w:val="single"/>
            </w:tcBorders>
            <w:vAlign w:val="bottom"/>
          </w:tcPr>
          <w:p>
            <w:pPr>
              <w:pStyle w:val="Compact"/>
              <w:jc w:val="right"/>
            </w:pPr>
            <w:r>
              <w:t xml:space="preserve">mean_width</w:t>
            </w:r>
          </w:p>
        </w:tc>
        <w:tc>
          <w:tcPr>
            <w:tcBorders>
              <w:bottom w:val="single"/>
            </w:tcBorders>
            <w:vAlign w:val="bottom"/>
          </w:tcPr>
          <w:p>
            <w:pPr>
              <w:pStyle w:val="Compact"/>
              <w:jc w:val="right"/>
            </w:pPr>
            <w:r>
              <w:t xml:space="preserve">mena_area</w:t>
            </w:r>
          </w:p>
        </w:tc>
        <w:tc>
          <w:tcPr>
            <w:tcBorders>
              <w:bottom w:val="single"/>
            </w:tcBorders>
            <w:vAlign w:val="bottom"/>
          </w:tcPr>
          <w:p>
            <w:pPr>
              <w:pStyle w:val="Compact"/>
              <w:jc w:val="right"/>
            </w:pPr>
            <w:r>
              <w:t xml:space="preserve">sd_area</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0.17</w:t>
            </w:r>
          </w:p>
        </w:tc>
        <w:tc>
          <w:p>
            <w:pPr>
              <w:pStyle w:val="Compact"/>
              <w:jc w:val="right"/>
            </w:pPr>
            <w:r>
              <w:t xml:space="preserve">0.03</w:t>
            </w:r>
          </w:p>
        </w:tc>
      </w:tr>
    </w:tbl>
    <w:p>
      <w:pPr>
        <w:pStyle w:val="Heading2"/>
      </w:pPr>
      <w:bookmarkStart w:id="34" w:name="microscopy-image-results"/>
      <w:bookmarkEnd w:id="34"/>
      <w:r>
        <w:t xml:space="preserve">Microscopy Image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3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1:</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3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3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3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39"/>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0"/>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1"/>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#7 stained in crystal violet ( Panel A), gram’s stain (Panel B), and Maneval’s stain (Panel C).</w:t>
      </w:r>
    </w:p>
    <w:p>
      <w:pPr>
        <w:pStyle w:val="Heading1"/>
      </w:pPr>
      <w:bookmarkStart w:id="42" w:name="discussion"/>
      <w:bookmarkEnd w:id="42"/>
      <w:r>
        <w:t xml:space="preserve">Discussion</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(7)</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(8)</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1"/>
      </w:pPr>
      <w:bookmarkStart w:id="43" w:name="sources-cited"/>
      <w:bookmarkEnd w:id="43"/>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8.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fd33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2019-03-21T17:04:39Z</dcterms:created>
  <dcterms:modified xsi:type="dcterms:W3CDTF">2019-03-21T17:04:39Z</dcterms:modified>
</cp:coreProperties>
</file>