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png" ContentType="image/png"/>
  <Override PartName="/word/media/rId76.png" ContentType="image/png"/>
  <Override PartName="/word/media/rId77.png" ContentType="image/png"/>
  <Override PartName="/word/media/rId62.png" ContentType="image/png"/>
  <Override PartName="/word/media/rId73.png" ContentType="image/png"/>
  <Override PartName="/word/media/rId64.jpg" ContentType="image/jpeg"/>
  <Override PartName="/word/media/rId65.jpg" ContentType="image/jpeg"/>
  <Override PartName="/word/media/rId66.jpg" ContentType="image/jpeg"/>
  <Override PartName="/word/media/rId67.jpg" ContentType="image/jpeg"/>
  <Override PartName="/word/media/rId68.jpg" ContentType="image/jpeg"/>
  <Override PartName="/word/media/rId69.jpg" ContentType="image/jpeg"/>
  <Override PartName="/word/media/rId70.jpg" ContentType="image/jpeg"/>
  <Override PartName="/word/media/rId72.jpg" ContentType="image/jpeg"/>
  <Override PartName="/word/media/rId75.jpg" ContentType="image/jpeg"/>
  <Override PartName="/word/media/rId7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Pantoea</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16,</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BodyText"/>
      </w:pPr>
      <w:r>
        <w:t xml:space="preserve">The second portion of my investigation focused on examining differences in the number of colonies and morphotypes growing on the phyllospheres of five different plant species. In particular, I examined Mexican marigolds (</w:t>
      </w:r>
      <w:r>
        <w:rPr>
          <w:i/>
        </w:rPr>
        <w:t xml:space="preserve">Tagetes erecta</w:t>
      </w:r>
      <w:r>
        <w:t xml:space="preserve">), wax begonias (</w:t>
      </w:r>
      <w:r>
        <w:rPr>
          <w:i/>
        </w:rPr>
        <w:t xml:space="preserve">Begonia x semperflorens-cultorum</w:t>
      </w:r>
      <w:r>
        <w:t xml:space="preserve">), lavender (</w:t>
      </w:r>
      <w:r>
        <w:rPr>
          <w:i/>
        </w:rPr>
        <w:t xml:space="preserve">Lavendula</w:t>
      </w:r>
      <w:r>
        <w:t xml:space="preserve">), California goldfields (</w:t>
      </w:r>
      <w:r>
        <w:rPr>
          <w:i/>
        </w:rPr>
        <w:t xml:space="preserve">Lasthenia californica</w:t>
      </w:r>
      <w:r>
        <w:t xml:space="preserve">), and California poppies (</w:t>
      </w:r>
      <w:r>
        <w:rPr>
          <w:i/>
        </w:rPr>
        <w:t xml:space="preserve">Eschscholzia californica</w:t>
      </w:r>
      <w:r>
        <w:t xml:space="preserve">). Due to the significance I observed in morphotype diversity between ice plants and fern leaf yarrows, I hypothesized that species diversity would be more statistically significant as compared to the number of colonies present per plant species. In addition, I expected to encounter</w:t>
      </w:r>
      <w:r>
        <w:t xml:space="preserve"> </w:t>
      </w:r>
      <w:r>
        <w:rPr>
          <w:i/>
        </w:rPr>
        <w:t xml:space="preserve">Bacillus</w:t>
      </w:r>
      <w:r>
        <w:t xml:space="preserve"> </w:t>
      </w:r>
      <w:r>
        <w:t xml:space="preserve">spp. or</w:t>
      </w:r>
      <w:r>
        <w:t xml:space="preserve"> </w:t>
      </w:r>
      <w:r>
        <w:rPr>
          <w:i/>
        </w:rPr>
        <w:t xml:space="preserve">Pseudomonas</w:t>
      </w:r>
      <w:r>
        <w:t xml:space="preserve"> </w:t>
      </w:r>
      <w:r>
        <w:t xml:space="preserve">spp. as I did in the first portion of my experiment. Each plant species is classified as a native or naturalized flowering plant. Flowering plants, or angiosperms, account for approximately 80% of all living plants</w:t>
      </w:r>
      <w:r>
        <w:t xml:space="preserve"> </w:t>
      </w:r>
      <w:r>
        <w:t xml:space="preserve">(11)</w:t>
      </w:r>
      <w:r>
        <w:t xml:space="preserve">. Microorganisms are integral to maintaining and protecting the health of their host plant. They have the ability to assist in growth, seed germination, nutrient supply via nitrogen fixation, and resistance against abiotic and biotic stress factors</w:t>
      </w:r>
      <w:r>
        <w:t xml:space="preserve"> </w:t>
      </w:r>
      <w:r>
        <w:t xml:space="preserve">(12)</w:t>
      </w:r>
      <w:r>
        <w:t xml:space="preserve">. Following similar methods to the first portion of my experiment, I cultured a total of 105 samples from all of the plant species and controls I observed onto tryptic soy agar (TSA) plates. For each plant species, I sampled five individual plants located in the same landscaped plot. For each plant individual, I collected samples on 5 different leaves using sterile cotton swabs. I found that both average colony and morphology counts were quantitatively higher in Mexican marigold and wax begonias. I obtain pure cultures for 6 different observed morphotypes. I performed PCR amplification and gel electrophoresis to obtain successful DNA sequence results. Of the 6 morphotypes I investigated, I received a successful identification for the second morphotype. Morphotype #2 is likely a strain belonging to the genus</w:t>
      </w:r>
      <w:r>
        <w:t xml:space="preserve"> </w:t>
      </w:r>
      <w:r>
        <w:rPr>
          <w:i/>
        </w:rPr>
        <w:t xml:space="preserve">Pantoea</w:t>
      </w:r>
      <w:r>
        <w:t xml:space="preserve">.</w:t>
      </w:r>
    </w:p>
    <w:p>
      <w:pPr>
        <w:pStyle w:val="BodyText"/>
      </w:pPr>
      <w:r>
        <w:t xml:space="preserve">Overall, the microbiota has a profound positive effect on plant and ecosystem health</w:t>
      </w:r>
      <w:r>
        <w:t xml:space="preserve"> </w:t>
      </w:r>
      <w:r>
        <w:t xml:space="preserve">(13)</w:t>
      </w:r>
      <w:r>
        <w:t xml:space="preserve">. Assessing the microbial communities of the phyllosphere can be accomplished through descriptive approaches. Culturing methods measure species richness and diversity of each community. Unfortunately, this approach is subject to human error. However, with molecular approaches, we can now rapidly survey and describe microbial community structure and composition at an unprecedented level of detail. Microorganisms therefore provide unique opportunities for studying evolutionary relationships through phylogenetic inferences and sequencing technology. Phylogenetic trees are the most common form of displaying inferred relationships that exist between different species</w:t>
      </w:r>
      <w:r>
        <w:t xml:space="preserve"> </w:t>
      </w:r>
      <w:r>
        <w:t xml:space="preserve">(14)</w:t>
      </w:r>
      <w:r>
        <w:t xml:space="preserve">. Maximum likelihood phylogenies are one of the most effective methods to examine relatedness, but they can be used on relatively small data sets. They also do not provide full functional information about the microbiota. Further developments into sequencing technology has helped resolve some of those limitations. Sequencing technologies, Thanks to the advancement of various sequencing technologies, the complete genomes for 1,554 bacterial species, 112 archaeal species, and 2,675 virus species had been published by 2012</w:t>
      </w:r>
      <w:r>
        <w:t xml:space="preserve"> </w:t>
      </w:r>
      <w:r>
        <w:t xml:space="preserve">(15)</w:t>
      </w:r>
      <w:r>
        <w:t xml:space="preserve">. Therefore, uncovering the microbes that inhabit the phyllosphere requires the conjunction of various robust approaches.</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(16)</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(17)</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(18)</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(19)</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w:t>
      </w:r>
      <w:r>
        <w:t xml:space="preserve"> </w:t>
      </w:r>
      <w:r>
        <w:rPr>
          <w:i/>
        </w:rPr>
        <w:t xml:space="preserve">P</w:t>
      </w:r>
      <w:r>
        <w:t xml:space="preserve"> </w:t>
      </w:r>
      <w:r>
        <w:t xml:space="preserve">=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w:t>
      </w:r>
      <w:r>
        <w:t xml:space="preserve"> </w:t>
      </w:r>
      <w:r>
        <w:rPr>
          <w:i/>
        </w:rPr>
        <w:t xml:space="preserve">P</w:t>
      </w:r>
      <w:r>
        <w:t xml:space="preserve"> </w:t>
      </w:r>
      <w:r>
        <w:t xml:space="preserve">=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(20)</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(21)</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(22)</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(23)</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(23)</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(23)</w:t>
      </w:r>
      <w:r>
        <w:t xml:space="preserve">. A 97% bootstrap support provides further evidence of the morphotypes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can be effective in controlling foliar and soilborne pathways from pathogenic bacteria such as</w:t>
      </w:r>
      <w:r>
        <w:t xml:space="preserve"> </w:t>
      </w:r>
      <w:r>
        <w:rPr>
          <w:i/>
        </w:rPr>
        <w:t xml:space="preserve">Pseudomonas</w:t>
      </w:r>
      <w:r>
        <w:t xml:space="preserve"> </w:t>
      </w:r>
      <w:r>
        <w:t xml:space="preserve">(24)</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(25)</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morphotypes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(26)</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(27)</w:t>
      </w:r>
      <w:r>
        <w:t xml:space="preserve">. 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1"/>
      </w:pPr>
      <w:bookmarkStart w:id="43" w:name="methods-focused-project-on-the-phyllospheres-of-various-flowering-plant-species"/>
      <w:bookmarkEnd w:id="43"/>
      <w:r>
        <w:t xml:space="preserve">Methods: Focused project on the phyllospheres of various flowering plant species</w:t>
      </w:r>
    </w:p>
    <w:p>
      <w:pPr>
        <w:pStyle w:val="Heading2"/>
      </w:pPr>
      <w:bookmarkStart w:id="44" w:name="study-design-1"/>
      <w:bookmarkEnd w:id="44"/>
      <w:r>
        <w:t xml:space="preserve">Study Design</w:t>
      </w:r>
    </w:p>
    <w:p>
      <w:pPr>
        <w:pStyle w:val="Heading3"/>
      </w:pPr>
      <w:bookmarkStart w:id="45" w:name="field-collection-1"/>
      <w:bookmarkEnd w:id="45"/>
      <w:r>
        <w:t xml:space="preserve">Field Collection</w:t>
      </w:r>
    </w:p>
    <w:p>
      <w:pPr>
        <w:pStyle w:val="FirstParagraph"/>
      </w:pPr>
      <w:r>
        <w:t xml:space="preserve">On April 18th, 2019, I sampled leaves from five different plant species located in various landscaped plots on the Mountain campus of the University of San Francisco in San Francisco, California (37.776</w:t>
      </w:r>
      <w:r>
        <w:t xml:space="preserve"> </w:t>
      </w:r>
      <m:oMath>
        <m:sSup>
          <m:e>
            <m:r>
              <m:t/>
            </m:r>
          </m:e>
          <m:sup>
            <m:r>
              <m:t>∘</m:t>
            </m:r>
          </m:sup>
        </m:sSup>
      </m:oMath>
      <w:r>
        <w:t xml:space="preserve">N, 122.4521</w:t>
      </w:r>
      <w:r>
        <w:t xml:space="preserve"> </w:t>
      </w:r>
      <m:oMath>
        <m:sSup>
          <m:e>
            <m:r>
              <m:t/>
            </m:r>
          </m:e>
          <m:sup>
            <m:r>
              <m:t>∘</m:t>
            </m:r>
          </m:sup>
        </m:sSup>
      </m:oMath>
      <w:r>
        <w:t xml:space="preserve">W). The plants species I collected from were Mexican marigolds (</w:t>
      </w:r>
      <w:r>
        <w:rPr>
          <w:i/>
        </w:rPr>
        <w:t xml:space="preserve">Tagetes erecta</w:t>
      </w:r>
      <w:r>
        <w:t xml:space="preserve">), wax begonias (</w:t>
      </w:r>
      <w:r>
        <w:rPr>
          <w:i/>
        </w:rPr>
        <w:t xml:space="preserve">Begonia x semperflorens-cultorum</w:t>
      </w:r>
      <w:r>
        <w:t xml:space="preserve">), lavender (</w:t>
      </w:r>
      <w:r>
        <w:rPr>
          <w:i/>
        </w:rPr>
        <w:t xml:space="preserve">Lavendula</w:t>
      </w:r>
      <w:r>
        <w:t xml:space="preserve">), California goldfields (</w:t>
      </w:r>
      <w:r>
        <w:rPr>
          <w:i/>
        </w:rPr>
        <w:t xml:space="preserve">Lasthenia californica</w:t>
      </w:r>
      <w:r>
        <w:t xml:space="preserve">), and California poppies (</w:t>
      </w:r>
      <w:r>
        <w:rPr>
          <w:i/>
        </w:rPr>
        <w:t xml:space="preserve">Eschscholzia californica</w:t>
      </w:r>
      <w:r>
        <w:t xml:space="preserve">). For each plant species, I sampled five individual plants located in the same landscaped plot. I selected individuals located in positions that were not in close proximity to other plant species to avoid potential contaminant. For each plant individual, I collected samples on 5 different leaves that were placed at various elevations from the soil to the tip of the plant, being careful not to sample any leaves that were in contact with any petals or soil. To collect my samples, I used a new, sterile cotton swab on leaf for approximately 10 seconds in a continuous vertical motion. I then proceeded to place each swab into an appropriately labeled tube filled with 1mL of PBS solution. To obtain the control for my experiment, I used sterile swabs to collect an air sample in every landscaped plot where each plant species was located. I exposed each swab to the air for approximately 10 seconds and placed each swab into a labeled tube filled with 1mL of PBS solution. Before culturing, the samples for the wax begonias and Mexican marigolds were kept in their respective solutions for approximately 30 minutes and the samples I collected for the lavender, California goldfields, and California poppies were in solution for 15 minutes.</w:t>
      </w:r>
    </w:p>
    <w:p>
      <w:pPr>
        <w:pStyle w:val="Heading3"/>
      </w:pPr>
      <w:bookmarkStart w:id="46" w:name="culturing-1"/>
      <w:bookmarkEnd w:id="46"/>
      <w:r>
        <w:t xml:space="preserve">Culturing</w:t>
      </w:r>
    </w:p>
    <w:p>
      <w:pPr>
        <w:pStyle w:val="FirstParagraph"/>
      </w:pPr>
      <w:r>
        <w:t xml:space="preserve">I used 100mm tryptic soy agar (TSA) plates for plating all of the sample treatments I collected. First, I vortexed each test tube for approximately 10 seconds in order to release the remaining microbes from the cotton swab and into the PBS solution. For each sample I collected for each plant type, I used 20 TSA plates, equaling 100 plates total. Additionally, I used 1 TSA plate for each control sample I collected, equaling a total of 5 plates. I covered each TSA plate with 4 µL. I spread the bacterial liquid onto each TSA plate by swirling approximately 6-8 glass beads until the plate was completely covered. The glass beads were removed and appropriately disposed of in a waste container. I placed the TSA plates inside an incubator at 37</w:t>
      </w:r>
      <m:oMath>
        <m:sSup>
          <m:e>
            <m:r>
              <m:t/>
            </m:r>
          </m:e>
          <m:sup>
            <m:r>
              <m:t>∘</m:t>
            </m:r>
          </m:sup>
        </m:sSup>
      </m:oMath>
      <w:r>
        <w:t xml:space="preserve">C for almost a week in order to allow colonies to grow. On April 23rd, 2019, I removed all of the plates from the incubator in order to examine the colonial morphology and counts. I examined the TSA plates for plant species wax begonia on April 23rd. The remaining cultures were placed in a refrigerator to prevent the colonies from growing further. On April 25th I removed the TSA plate cultures for the plant species Mexican marigold, lavender, California goldfield, and California poppy for analyzing.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47" w:name="streaking-for-pure-colonies"/>
      <w:bookmarkEnd w:id="47"/>
      <w:r>
        <w:t xml:space="preserve">Streaking for Pure Colonies</w:t>
      </w:r>
    </w:p>
    <w:p>
      <w:pPr>
        <w:pStyle w:val="FirstParagraph"/>
      </w:pPr>
      <w:r>
        <w:t xml:space="preserve">April 29th, 2019, I obtained pure microbial cultures from morphotypes that I observed to be either in high abundance or very rarely present among all of the TSA dilution plates from my samples for further analysis. To do this, I used an inoculating loop to scoop the desired morphotype colony from the culturing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also used the bacticinerator to sterilize the metal loop between each morphotype streaking. I completed this method 6 times, once for each morphotype observed and labeled each TSA plate with ID labels of Morp. #1-6. I placed all 6 plates in an incubator at 37</w:t>
      </w:r>
      <m:oMath>
        <m:sSup>
          <m:e>
            <m:r>
              <m:t/>
            </m:r>
          </m:e>
          <m:sup>
            <m:r>
              <m:t>∘</m:t>
            </m:r>
          </m:sup>
        </m:sSup>
      </m:oMath>
      <w:r>
        <w:t xml:space="preserve">C. I removed all of the plates from the incubator on April 30th. All plates contained pure colonies so no restreaking was necessary.</w:t>
      </w:r>
    </w:p>
    <w:p>
      <w:pPr>
        <w:pStyle w:val="Heading3"/>
      </w:pPr>
      <w:bookmarkStart w:id="48" w:name="dna-extraction-pcr-amplification-and-gel-electrophoresis-1"/>
      <w:bookmarkEnd w:id="48"/>
      <w:r>
        <w:t xml:space="preserve">DNA Extraction, PCR Amplification and Gel Electrophoresis</w:t>
      </w:r>
    </w:p>
    <w:p>
      <w:pPr>
        <w:pStyle w:val="FirstParagraph"/>
      </w:pPr>
      <w:r>
        <w:t xml:space="preserve">I followed the standard DNA extraction protocol for bacterial cells as provided in the SigmaREDExtract n’ Amp Plant Kit. This PCR kit contains all the necessary reagents necessary to rapidly and simply extract and amplify genomic DNA</w:t>
      </w:r>
      <w:r>
        <w:t xml:space="preserve"> </w:t>
      </w:r>
      <w:r>
        <w:t xml:space="preserve">(28)</w:t>
      </w:r>
      <w:r>
        <w:t xml:space="preserve">. I created an undiluted and 1/10 diluted PCR reaction master mix. For the undiluted PCR master mix, I added 10 µL of Amp solution, 1 µL of 10µM 27f primer, 1 µL 10µM 1492r primer, 1 of 1M BSA, and 6 µL of PCR water. I added 1 µL of template DNA to a labeled tube for each morphotype and added 1 µL of PCR water for the negative control. The diluted PCR recipe per reaction mixture is as follows: 1 µL of 1/10 diluted template DNA, 10 µL of Amp solution, 0.5 µL of 10M 27f primer, 0.5 µL of 10µM 1492r primer, 1 µL of 1M BSA, and 7 µL of PCR water. Instead of diluted template DNA, I added 1 µL of PCR water for the negative control. The temperature and run time for each PCR cycle are as follows: the initialization cycle for 3min at 94</w:t>
      </w:r>
      <m:oMath>
        <m:sSup>
          <m:e>
            <m:r>
              <m:t/>
            </m:r>
          </m:e>
          <m:sup>
            <m:r>
              <m:t>∘</m:t>
            </m:r>
          </m:sup>
        </m:sSup>
      </m:oMath>
      <w:r>
        <w:t xml:space="preserve">C, denaturing for 30 seconds at 94</w:t>
      </w:r>
      <m:oMath>
        <m:sSup>
          <m:e>
            <m:r>
              <m:t/>
            </m:r>
          </m:e>
          <m:sup>
            <m:r>
              <m:t>∘</m:t>
            </m:r>
          </m:sup>
        </m:sSup>
      </m:oMath>
      <w:r>
        <w:t xml:space="preserve">C (35 times), annealing for 30 seconds at 55</w:t>
      </w:r>
      <m:oMath>
        <m:sSup>
          <m:e>
            <m:r>
              <m:t/>
            </m:r>
          </m:e>
          <m:sup>
            <m:r>
              <m:t>∘</m:t>
            </m:r>
          </m:sup>
        </m:sSup>
      </m:oMath>
      <w:r>
        <w:t xml:space="preserve">C (35 times), extension for 2 minutes at 72</w:t>
      </w:r>
      <m:oMath>
        <m:sSup>
          <m:e>
            <m:r>
              <m:t/>
            </m:r>
          </m:e>
          <m:sup>
            <m:r>
              <m:t>∘</m:t>
            </m:r>
          </m:sup>
        </m:sSup>
      </m:oMath>
      <w:r>
        <w:t xml:space="preserve">C (35 times), a final extension for 10 minutes at 72</w:t>
      </w:r>
      <m:oMath>
        <m:sSup>
          <m:e>
            <m:r>
              <m:t/>
            </m:r>
          </m:e>
          <m:sup>
            <m:r>
              <m:t>∘</m:t>
            </m:r>
          </m:sup>
        </m:sSup>
      </m:oMath>
      <w:r>
        <w:t xml:space="preserve">C, and holding at 4</w:t>
      </w:r>
      <m:oMath>
        <m:sSup>
          <m:e>
            <m:r>
              <m:t/>
            </m:r>
          </m:e>
          <m:sup>
            <m:r>
              <m:t>∘</m:t>
            </m:r>
          </m:sup>
        </m:sSup>
      </m:oMath>
      <w:r>
        <w:t xml:space="preserve">C to cool the products. I checked for successful PCR amplification using 2% agarose gel. I added 4 µL of each PCR product to each well as well as 4 µL of ladder solution to the 8th well. The gel was run for 30 min at 130V.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2"/>
      </w:pPr>
      <w:bookmarkStart w:id="49" w:name="computational-analysis-1"/>
      <w:bookmarkEnd w:id="49"/>
      <w:r>
        <w:t xml:space="preserve">Computational Analysis</w:t>
      </w:r>
    </w:p>
    <w:p>
      <w:pPr>
        <w:pStyle w:val="Heading3"/>
      </w:pPr>
      <w:bookmarkStart w:id="50" w:name="culturing-analysis-1"/>
      <w:bookmarkEnd w:id="50"/>
      <w:r>
        <w:t xml:space="preserve">Culturing Analysis</w:t>
      </w:r>
    </w:p>
    <w:p>
      <w:pPr>
        <w:pStyle w:val="FirstParagraph"/>
      </w:pPr>
      <w:r>
        <w:t xml:space="preserve">The process to analyze the data gathered was accomplished using a systematic workflow. First, I created and uploaded data onto a data using Microsoft Excel. I added the data regarding the number of different colonies and morphotypes counted per TSA plate at each concentration for each sample treatment. This sheet was then converted and exported as a csv file to the raw data project file folder under the file name</w:t>
      </w:r>
      <w:r>
        <w:t xml:space="preserve"> </w:t>
      </w:r>
      <w:r>
        <w:t xml:space="preserve">“</w:t>
      </w:r>
      <w:r>
        <w:t xml:space="preserve">final_project_culturing_counts.csv</w:t>
      </w:r>
      <w:r>
        <w:t xml:space="preserve">”</w:t>
      </w:r>
      <w:r>
        <w:t xml:space="preserve">. I used the csv data file and appropriate packages I added previously to create the figures and tables for my analysis. I filtered out colony counts over 500 colonies. I performed ANOVA analyses on both colony and morphology counts. I also performed pairwise comparisons for the number of colonies and morphologies based on plant species.</w:t>
      </w:r>
    </w:p>
    <w:p>
      <w:pPr>
        <w:pStyle w:val="Heading3"/>
      </w:pPr>
      <w:bookmarkStart w:id="51" w:name="molecular-analysis-1"/>
      <w:bookmarkEnd w:id="51"/>
      <w:r>
        <w:t xml:space="preserve">Molecular Analysis</w:t>
      </w:r>
    </w:p>
    <w:p>
      <w:pPr>
        <w:pStyle w:val="FirstParagraph"/>
      </w:pPr>
      <w:r>
        <w:t xml:space="preserve">I analyzed the sequence data using the program MEGA7.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Unfortunately, due to insufficient DNA on almost all the sequences and therefore, I could not produce a phylogeny. Using NCBI Blast and the GenBank nucleotide database, I searched for the identities and accompanying descriptions for each non-failed, trimmed sequence. For sequences that could not be successfully matched, I marked as</w:t>
      </w:r>
      <w:r>
        <w:t xml:space="preserve"> </w:t>
      </w:r>
      <w:r>
        <w:t xml:space="preserve">“</w:t>
      </w:r>
      <w:r>
        <w:t xml:space="preserve">No Good Match</w:t>
      </w:r>
      <w:r>
        <w:t xml:space="preserve">”</w:t>
      </w:r>
      <w:r>
        <w:t xml:space="preserve"> </w:t>
      </w:r>
      <w:r>
        <w:t xml:space="preserve">(Table 11).</w:t>
      </w:r>
    </w:p>
    <w:p>
      <w:pPr>
        <w:pStyle w:val="Heading1"/>
      </w:pPr>
      <w:bookmarkStart w:id="52" w:name="results-focused-project-on-the-phyllospheres-of-various-flowering-plant-species"/>
      <w:bookmarkEnd w:id="52"/>
      <w:r>
        <w:t xml:space="preserve">RESULTS: Focused project on the phyllospheres of various flowering plant species</w:t>
      </w:r>
    </w:p>
    <w:p>
      <w:pPr>
        <w:pStyle w:val="Heading2"/>
      </w:pPr>
      <w:bookmarkStart w:id="53" w:name="culturing-for-the-focused-portion-of-the-experiment"/>
      <w:bookmarkEnd w:id="53"/>
      <w:r>
        <w:t xml:space="preserve">Culturing for the Focused Portion of the Experiment</w:t>
      </w:r>
    </w:p>
    <w:p>
      <w:pPr>
        <w:pStyle w:val="FirstParagraph"/>
      </w:pPr>
      <w:r>
        <w:t xml:space="preserve">The first thing I investigated for this portion of the experiment was the differences in the number colonies I observed for each plant species. I determined that certain plant species had many more colonies grow than other plant species. Qualitatively, the phyllospheres of Mexican marigolds and wax begonias were overall significantly more abundant in the number of colonies present as compared to the other plant species which is quantitatively supported (Figure 13; ANOVA,</w:t>
      </w:r>
      <w:r>
        <w:t xml:space="preserve"> </w:t>
      </w:r>
      <w:r>
        <w:rPr>
          <w:i/>
        </w:rPr>
        <w:t xml:space="preserve">P</w:t>
      </w:r>
      <w:r>
        <w:t xml:space="preserve"> </w:t>
      </w:r>
      <w:r>
        <w:t xml:space="preserve">= 0). Some TSA plates were almost entirely covered in colonies and others that had no colonies that grew (Figure 12). Next, I investigated whether the plant species possessed differences in their morphology counts based on my observations. Again, I observed that the average morphology counts in Mexican marigolds and California goldfields appeared to be the most highly abundant, and I did find statistical support this observation (Figure 14; ANOVA,</w:t>
      </w:r>
      <w:r>
        <w:t xml:space="preserve"> </w:t>
      </w:r>
      <w:r>
        <w:rPr>
          <w:i/>
        </w:rPr>
        <w:t xml:space="preserve">P</w:t>
      </w:r>
      <w:r>
        <w:t xml:space="preserve"> </w:t>
      </w:r>
      <w:r>
        <w:t xml:space="preserve">= 0).</w:t>
      </w:r>
    </w:p>
    <w:p>
      <w:pPr>
        <w:pStyle w:val="BodyText"/>
      </w:pPr>
      <w:r>
        <w:t xml:space="preserve">Due to the highly supported data I obtained when observing colony and morphotype counts over all of the plant species, I created pairwise comparisons for each plant species.</w:t>
      </w:r>
      <w:r>
        <w:t xml:space="preserve"> </w:t>
      </w:r>
      <w:r>
        <w:t xml:space="preserve">When comparing colony counts among each plant species, I observed a trend in the average colony counts of the species wax begonia against the other plant species. Mean colony counts in wax begonias are significantly higher than in the California goldfield, the California poppy, and lavender (Table 9; all</w:t>
      </w:r>
      <w:r>
        <w:t xml:space="preserve"> </w:t>
      </w:r>
      <w:r>
        <w:rPr>
          <w:i/>
        </w:rPr>
        <w:t xml:space="preserve">P</w:t>
      </w:r>
      <w:r>
        <w:t xml:space="preserve"> </w:t>
      </w:r>
      <w:r>
        <w:t xml:space="preserve">= 0.00). When comparing pairwise differences among plant species in relation to species diversity, Mexican marigolds and wax begonias dominate. The mean morphotype counts for Mexican marigolds are significantly more abundant than in California goldfields (</w:t>
      </w:r>
      <w:r>
        <w:rPr>
          <w:i/>
        </w:rPr>
        <w:t xml:space="preserve">P</w:t>
      </w:r>
      <w:r>
        <w:t xml:space="preserve"> </w:t>
      </w:r>
      <w:r>
        <w:t xml:space="preserve">= 0.02), California poppies (</w:t>
      </w:r>
      <w:r>
        <w:rPr>
          <w:i/>
        </w:rPr>
        <w:t xml:space="preserve">P</w:t>
      </w:r>
      <w:r>
        <w:t xml:space="preserve"> </w:t>
      </w:r>
      <w:r>
        <w:t xml:space="preserve">= 0.00), and lavender (</w:t>
      </w:r>
      <w:r>
        <w:rPr>
          <w:i/>
        </w:rPr>
        <w:t xml:space="preserve">P</w:t>
      </w:r>
      <w:r>
        <w:t xml:space="preserve"> </w:t>
      </w:r>
      <w:r>
        <w:t xml:space="preserve">= 0.00) (Table 10). Mean morphotype counts are quantitatively greater in wax begonias when compared to California goldfields, California poppies, and lavender (Table 10; all</w:t>
      </w:r>
      <w:r>
        <w:t xml:space="preserve"> </w:t>
      </w:r>
      <w:r>
        <w:rPr>
          <w:i/>
        </w:rPr>
        <w:t xml:space="preserve">P</w:t>
      </w:r>
      <w:r>
        <w:t xml:space="preserve"> </w:t>
      </w:r>
      <w:r>
        <w:t xml:space="preserve">= 0.00). Comparing morphotype abundances between wax begonias and Mexican marigolds suggest that the former contains a higher species diversity.</w:t>
      </w:r>
    </w:p>
    <w:p>
      <w:pPr>
        <w:pStyle w:val="Heading2"/>
      </w:pPr>
      <w:bookmarkStart w:id="54" w:name="molecular-analysis-for-the-focused-portion-of-the-experiment"/>
      <w:bookmarkEnd w:id="54"/>
      <w:r>
        <w:t xml:space="preserve">Molecular Analysis for the Focused Portion of the Experiment</w:t>
      </w:r>
    </w:p>
    <w:p>
      <w:pPr>
        <w:pStyle w:val="FirstParagraph"/>
      </w:pPr>
      <w:r>
        <w:t xml:space="preserve">Of the six morphotypes I chose to investigate further, I received PCR sequence results for morphotypes #2, #3, #4, and my negative control. I attempted to produce an inferred phylogeny after manually trimming each sequence but could not due to insufficient DNA sequence data from all of the results except morphotype #2. Likewise, I did not receive any matches for those DNA sequences except for morphotype # 2. BLAST results suggested that morphotype #2 is most likely a species strain belonging to the family</w:t>
      </w:r>
      <w:r>
        <w:t xml:space="preserve"> </w:t>
      </w:r>
      <w:r>
        <w:rPr>
          <w:i/>
        </w:rPr>
        <w:t xml:space="preserve">Enterobacteriaceae</w:t>
      </w:r>
      <w:r>
        <w:t xml:space="preserve"> </w:t>
      </w:r>
      <w:r>
        <w:t xml:space="preserve">and genus</w:t>
      </w:r>
      <w:r>
        <w:t xml:space="preserve"> </w:t>
      </w:r>
      <w:r>
        <w:rPr>
          <w:i/>
        </w:rPr>
        <w:t xml:space="preserve">Pantoea</w:t>
      </w:r>
      <w:r>
        <w:t xml:space="preserve">.</w:t>
      </w:r>
    </w:p>
    <w:p>
      <w:pPr>
        <w:pStyle w:val="Heading1"/>
      </w:pPr>
      <w:bookmarkStart w:id="55" w:name="discussion-focused-project-on-the-phyllospheres-of-various-flowering-plant-species"/>
      <w:bookmarkEnd w:id="55"/>
      <w:r>
        <w:t xml:space="preserve">DISCUSSION: Focused project on the phyllospheres of various flowering plant species</w:t>
      </w:r>
    </w:p>
    <w:p>
      <w:pPr>
        <w:pStyle w:val="Heading2"/>
      </w:pPr>
      <w:bookmarkStart w:id="56" w:name="focused-portion-of-the-experiment"/>
      <w:bookmarkEnd w:id="56"/>
      <w:r>
        <w:t xml:space="preserve">Focused Portion of the Experiment</w:t>
      </w:r>
    </w:p>
    <w:p>
      <w:pPr>
        <w:pStyle w:val="FirstParagraph"/>
      </w:pPr>
      <w:r>
        <w:t xml:space="preserve">The focus of the second portion of my investigation involved trying to determine whether other plant species, specifically flowering plants, contained differences in the number of colonies and morphotypes growing on their respective phyllospheres. I hypothesized that species diversity, the number of morphotypes present, would be more statistically significant as compared to the number of colonies present per plant species. This difference would translate to dominance of a particular genera present among all of the plant species. In particular, I would expect to encounter</w:t>
      </w:r>
      <w:r>
        <w:t xml:space="preserve"> </w:t>
      </w:r>
      <w:r>
        <w:rPr>
          <w:i/>
        </w:rPr>
        <w:t xml:space="preserve">Bacillus</w:t>
      </w:r>
      <w:r>
        <w:t xml:space="preserve"> </w:t>
      </w:r>
      <w:r>
        <w:t xml:space="preserve">spp. or</w:t>
      </w:r>
      <w:r>
        <w:t xml:space="preserve"> </w:t>
      </w:r>
      <w:r>
        <w:rPr>
          <w:i/>
        </w:rPr>
        <w:t xml:space="preserve">Pseudomonas</w:t>
      </w:r>
      <w:r>
        <w:t xml:space="preserve"> </w:t>
      </w:r>
      <w:r>
        <w:t xml:space="preserve">spp. as I did in the first portion of my experiment. I yielded high statistical support among colony and morphology counts when comparing the plant species overall. Further investigation via pairwise comparisons suggested that the phyllospheres of Mexican marigolds and wax begonias were considerably more abundant than the phyllospheres of California poppies, California goldfields and lavender. These findings partially support my hypothesis. A possible reasoning as to why I observed significant colony abundance among the various plant species could be due to the larger sample set I tested versus the first portion of my experiment. In addition, microbial richness on flowering plants often increases when surrounded by warmer climates and my sampling took place at the end of April, often reaching temperatures around 70</w:t>
      </w:r>
      <m:oMath>
        <m:sSup>
          <m:e>
            <m:r>
              <m:t/>
            </m:r>
          </m:e>
          <m:sup>
            <m:r>
              <m:t>∘</m:t>
            </m:r>
          </m:sup>
        </m:sSup>
      </m:oMath>
      <w:r>
        <w:t xml:space="preserve">F</w:t>
      </w:r>
      <w:r>
        <w:t xml:space="preserve"> </w:t>
      </w:r>
      <w:r>
        <w:t xml:space="preserve">(29)</w:t>
      </w:r>
      <w:r>
        <w:t xml:space="preserve">. In addition, urban climates, like San Francisco, are often subject to increased temperatures which leads to addition stress on the phyllosphere and overall plant health.</w:t>
      </w:r>
    </w:p>
    <w:p>
      <w:pPr>
        <w:pStyle w:val="BodyText"/>
      </w:pPr>
      <w:r>
        <w:t xml:space="preserve">Although I was not able to produce a phylogeny, my molecular analyses using BLAST and the NCBI database yielded the identity of morphotype #2. Morphotype #2 was identified as being a</w:t>
      </w:r>
      <w:r>
        <w:t xml:space="preserve"> </w:t>
      </w:r>
      <w:r>
        <w:rPr>
          <w:i/>
        </w:rPr>
        <w:t xml:space="preserve">Pantoea</w:t>
      </w:r>
      <w:r>
        <w:t xml:space="preserve"> </w:t>
      </w:r>
      <w:r>
        <w:t xml:space="preserve">species strain.</w:t>
      </w:r>
      <w:r>
        <w:t xml:space="preserve"> </w:t>
      </w:r>
      <w:r>
        <w:rPr>
          <w:i/>
        </w:rPr>
        <w:t xml:space="preserve">Pantoea</w:t>
      </w:r>
      <w:r>
        <w:t xml:space="preserve"> </w:t>
      </w:r>
      <w:r>
        <w:t xml:space="preserve">is a highly diverse genus that’s generally associated with plants and they can take the role of either an epiphyte or pathogen. Some species, such as</w:t>
      </w:r>
      <w:r>
        <w:t xml:space="preserve"> </w:t>
      </w:r>
      <w:r>
        <w:rPr>
          <w:i/>
        </w:rPr>
        <w:t xml:space="preserve">Pantoea agglomerans</w:t>
      </w:r>
      <w:r>
        <w:t xml:space="preserve"> </w:t>
      </w:r>
      <w:r>
        <w:t xml:space="preserve">is an epiphyte that helps leaves combat water stress or manages plant health against diseases</w:t>
      </w:r>
      <w:r>
        <w:t xml:space="preserve"> </w:t>
      </w:r>
      <w:r>
        <w:t xml:space="preserve">(30)</w:t>
      </w:r>
      <w:r>
        <w:t xml:space="preserve">. When in contact with other deadly pathogens, it produces antibiotics that are toxic. However,</w:t>
      </w:r>
      <w:r>
        <w:t xml:space="preserve"> </w:t>
      </w:r>
      <w:r>
        <w:rPr>
          <w:i/>
        </w:rPr>
        <w:t xml:space="preserve">P. agglomerans</w:t>
      </w:r>
      <w:r>
        <w:t xml:space="preserve"> </w:t>
      </w:r>
      <w:r>
        <w:t xml:space="preserve">requires certain environmental factors, like a warm, moist, and well-lit climate in order to effectively survive and work as a biocontrol. Additionally, it requires clean air circulation to survive. Due to the location and elevation of Lone Mountain Hill as well as the placement of the landscaped plot, the plants are provided with a well-lit climate and are not in overwhelming contact with machinery like automobiles.</w:t>
      </w:r>
    </w:p>
    <w:p>
      <w:pPr>
        <w:pStyle w:val="Heading2"/>
      </w:pPr>
      <w:bookmarkStart w:id="57" w:name="limitations-and-caveats"/>
      <w:bookmarkEnd w:id="57"/>
      <w:r>
        <w:t xml:space="preserve">Limitations and Caveats</w:t>
      </w:r>
    </w:p>
    <w:p>
      <w:pPr>
        <w:pStyle w:val="FirstParagraph"/>
      </w:pPr>
      <w:r>
        <w:t xml:space="preserve">There are some limitations and caveats that may have potentially impacted the observations and results I obtained. Firstly, although I did sample on the same day, I did not have all of my samples in the PBS solution for the same amount of time. The Mexican marigold and wax begonia samples were in solution for upwards of an hour. In contrast, the samples for the other three plant species spent between 15-30minutes in PBS solution. This could have affected the disparities in the number colonies that grew on each plate. If I performed this experiment again, I would more be more consistent with the time I allow my samples to stand in solution. An issue I had regarding the molecular portion of my experiment was that almost all of my sequences were either failed or had insufficient DNA sequence results. This could be a result of a lack of DNA I added in my PCR tubes or not adding enough solution to the gel wells. In a follow-up experiment, I would add more of a concentration of DNA to my PCR reactions and more solution to each gel well.</w:t>
      </w:r>
    </w:p>
    <w:p>
      <w:pPr>
        <w:pStyle w:val="Heading2"/>
      </w:pPr>
      <w:bookmarkStart w:id="58" w:name="conclusion"/>
      <w:bookmarkEnd w:id="58"/>
      <w:r>
        <w:t xml:space="preserve">Conclusion</w:t>
      </w:r>
    </w:p>
    <w:p>
      <w:pPr>
        <w:pStyle w:val="FirstParagraph"/>
      </w:pPr>
      <w:r>
        <w:t xml:space="preserve">Urban areas often create a heat island effect from increased radiation and sparse vegetation cover</w:t>
      </w:r>
      <w:r>
        <w:t xml:space="preserve"> </w:t>
      </w:r>
      <w:r>
        <w:t xml:space="preserve">(31)</w:t>
      </w:r>
      <w:r>
        <w:t xml:space="preserve">. This thermal accumulation explains why many plants often undergo stress and altered enzymatic processes. As a result, the overall health of the plant can become endangered. Fitness and longevity become reduced, functional traits for survival could be lost or reduced, and in some instances, death may proceed. The combination of invasive species and anthropogenic stressors cause plant health to be under threat at all times. This is why it’s imperative for everyone, scientist and citizen alike, to take measures that preserve plant health. Some ways to accomplish this by planting more native and naturalized plants as they often require less maintenance and care, like succulents. It also preserves overall ecological health because invasive species often deplete the surrounding resources and space</w:t>
      </w:r>
      <w:r>
        <w:t xml:space="preserve"> </w:t>
      </w:r>
      <w:r>
        <w:t xml:space="preserve">(9)</w:t>
      </w:r>
      <w:r>
        <w:t xml:space="preserve">. Increasing vegetation cover that’s currently present in these urban areas and to combat the rising global temperatures as more cities are being created and populated. The scientific community is only beginning to understand the impacts of how the environment impact plant and their microbes. Altering a plant’s environment can greatly impact the conditions of its respective phyllosphere. These environmental perturbations I previously stated can affect the relative species richness and efficiency of functional microbial groups present. For example, loss or reduction in species abundance and richness can make it easier for invaders like insects and pathogens to attack the microbes inhabiting the phyllosphere. Combining various approaches such as culturing, microscopy, and molecular analyses provides scientists with an understanding of the evolutionary history and relationships of microbes as they adapt to their changing habits today. Culturing provides physical descriptions and overall estimates into species richness. Phylogenies provide inferences on the relatedness among the microbes present in their community. Sequence-based methods like broad-range PCR and metagenomics have been critical in the discovery and of pathogens and microorganisms as well as establish key associations in host-species interactions. When comparing the small scale of microorganism, the large impact that microbes have on their host species and neighboring microorganisms make them one of the most powerful organisms on the planet.</w:t>
      </w:r>
    </w:p>
    <w:p>
      <w:pPr>
        <w:pStyle w:val="Heading2"/>
      </w:pPr>
      <w:bookmarkStart w:id="59" w:name="figures-and-tables"/>
      <w:bookmarkEnd w:id="59"/>
      <w:r>
        <w:t xml:space="preserve">Figures and Tables</w:t>
      </w:r>
    </w:p>
    <w:p>
      <w:pPr>
        <w:pStyle w:val="Heading2"/>
      </w:pPr>
      <w:bookmarkStart w:id="60" w:name="culturing-results"/>
      <w:bookmarkEnd w:id="60"/>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boxplot-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14116.22</w:t>
            </w:r>
          </w:p>
        </w:tc>
        <w:tc>
          <w:p>
            <w:pPr>
              <w:pStyle w:val="Compact"/>
              <w:jc w:val="right"/>
            </w:pPr>
            <w:r>
              <w:t xml:space="preserve">7058.11</w:t>
            </w:r>
          </w:p>
        </w:tc>
        <w:tc>
          <w:p>
            <w:pPr>
              <w:pStyle w:val="Compact"/>
              <w:jc w:val="right"/>
            </w:pPr>
            <w:r>
              <w:t xml:space="preserve">1.31</w:t>
            </w:r>
          </w:p>
        </w:tc>
        <w:tc>
          <w:p>
            <w:pPr>
              <w:pStyle w:val="Compact"/>
              <w:jc w:val="right"/>
            </w:pPr>
            <w:r>
              <w:t xml:space="preserve">0.34</w:t>
            </w:r>
          </w:p>
        </w:tc>
      </w:tr>
      <w:tr>
        <w:tc>
          <w:p>
            <w:pPr>
              <w:pStyle w:val="Compact"/>
              <w:jc w:val="left"/>
            </w:pPr>
            <w:r>
              <w:t xml:space="preserve">Residuals</w:t>
            </w:r>
          </w:p>
        </w:tc>
        <w:tc>
          <w:p>
            <w:pPr>
              <w:pStyle w:val="Compact"/>
              <w:jc w:val="right"/>
            </w:pPr>
            <w:r>
              <w:t xml:space="preserve">6</w:t>
            </w:r>
          </w:p>
        </w:tc>
        <w:tc>
          <w:p>
            <w:pPr>
              <w:pStyle w:val="Compact"/>
              <w:jc w:val="right"/>
            </w:pPr>
            <w:r>
              <w:t xml:space="preserve">32326.67</w:t>
            </w:r>
          </w:p>
        </w:tc>
        <w:tc>
          <w:p>
            <w:pPr>
              <w:pStyle w:val="Compact"/>
              <w:jc w:val="right"/>
            </w:pPr>
            <w:r>
              <w:t xml:space="preserve">5387.78</w:t>
            </w:r>
          </w:p>
        </w:tc>
        <w:tc>
          <w:p>
            <w:pPr>
              <w:pStyle w:val="Compact"/>
              <w:jc w:val="right"/>
            </w:pPr>
            <w:r>
              <w:t xml:space="preserve">NA</w:t>
            </w:r>
          </w:p>
        </w:tc>
        <w:tc>
          <w:p>
            <w:pPr>
              <w:pStyle w:val="Compact"/>
              <w:jc w:val="right"/>
            </w:pPr>
            <w:r>
              <w:t xml:space="preserve">NA</w:t>
            </w:r>
          </w:p>
        </w:tc>
      </w:tr>
    </w:tbl>
    <w:p>
      <w:pPr>
        <w:pStyle w:val="BodyText"/>
      </w:pPr>
      <w:r>
        <w:rPr>
          <w:b/>
        </w:rPr>
        <w:t xml:space="preserve">Table 1:</w:t>
      </w:r>
      <w:r>
        <w:t xml:space="preserve"> </w:t>
      </w:r>
      <w:r>
        <w:t xml:space="preserve">Statistical analysis of the number of colonies for sample treatments at 1x dilution. P-value of the number of colony counts is 0.3372.</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28.22</w:t>
            </w:r>
          </w:p>
        </w:tc>
        <w:tc>
          <w:p>
            <w:pPr>
              <w:pStyle w:val="Compact"/>
              <w:jc w:val="right"/>
            </w:pPr>
            <w:r>
              <w:t xml:space="preserve">14.11</w:t>
            </w:r>
          </w:p>
        </w:tc>
        <w:tc>
          <w:p>
            <w:pPr>
              <w:pStyle w:val="Compact"/>
              <w:jc w:val="right"/>
            </w:pPr>
            <w:r>
              <w:t xml:space="preserve">6.35</w:t>
            </w:r>
          </w:p>
        </w:tc>
        <w:tc>
          <w:p>
            <w:pPr>
              <w:pStyle w:val="Compact"/>
              <w:jc w:val="right"/>
            </w:pPr>
            <w:r>
              <w:t xml:space="preserve">0.03</w:t>
            </w:r>
          </w:p>
        </w:tc>
      </w:tr>
      <w:tr>
        <w:tc>
          <w:p>
            <w:pPr>
              <w:pStyle w:val="Compact"/>
              <w:jc w:val="left"/>
            </w:pPr>
            <w:r>
              <w:t xml:space="preserve">Residuals</w:t>
            </w:r>
          </w:p>
        </w:tc>
        <w:tc>
          <w:p>
            <w:pPr>
              <w:pStyle w:val="Compact"/>
              <w:jc w:val="right"/>
            </w:pPr>
            <w:r>
              <w:t xml:space="preserve">6</w:t>
            </w:r>
          </w:p>
        </w:tc>
        <w:tc>
          <w:p>
            <w:pPr>
              <w:pStyle w:val="Compact"/>
              <w:jc w:val="right"/>
            </w:pPr>
            <w:r>
              <w:t xml:space="preserve">13.33</w:t>
            </w:r>
          </w:p>
        </w:tc>
        <w:tc>
          <w:p>
            <w:pPr>
              <w:pStyle w:val="Compact"/>
              <w:jc w:val="right"/>
            </w:pPr>
            <w:r>
              <w:t xml:space="preserve">2.22</w:t>
            </w:r>
          </w:p>
        </w:tc>
        <w:tc>
          <w:p>
            <w:pPr>
              <w:pStyle w:val="Compact"/>
              <w:jc w:val="right"/>
            </w:pPr>
            <w:r>
              <w:t xml:space="preserve">NA</w:t>
            </w:r>
          </w:p>
        </w:tc>
        <w:tc>
          <w:p>
            <w:pPr>
              <w:pStyle w:val="Compact"/>
              <w:jc w:val="right"/>
            </w:pPr>
            <w:r>
              <w:t xml:space="preserve">NA</w:t>
            </w:r>
          </w:p>
        </w:tc>
      </w:tr>
    </w:tbl>
    <w:p>
      <w:pPr>
        <w:pStyle w:val="BodyText"/>
      </w:pPr>
      <w:r>
        <w:rPr>
          <w:b/>
        </w:rPr>
        <w:t xml:space="preserve">Table 2:</w:t>
      </w:r>
      <w:r>
        <w:t xml:space="preserve"> </w:t>
      </w:r>
      <w:r>
        <w:t xml:space="preserve">Statistical analysis of the number of morphotypes for sample treatments at 1x dilution. P-value of the number of colony counts is 0.0303.</w:t>
      </w:r>
    </w:p>
    <w:p>
      <w:pPr>
        <w:pStyle w:val="Heading2"/>
      </w:pPr>
      <w:bookmarkStart w:id="63" w:name="microscopy-results"/>
      <w:bookmarkEnd w:id="63"/>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3:</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6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65"/>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66"/>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67"/>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6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6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7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4:</w:t>
      </w:r>
      <w:r>
        <w:t xml:space="preserve"> </w:t>
      </w:r>
      <w:r>
        <w:t xml:space="preserve">Detailed descriptions of cell characteristics for all seven morphotypes studied.</w:t>
      </w:r>
    </w:p>
    <w:p>
      <w:pPr>
        <w:pStyle w:val="Heading2"/>
      </w:pPr>
      <w:bookmarkStart w:id="71" w:name="molecular-results"/>
      <w:bookmarkEnd w:id="71"/>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5:</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73"/>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6:</w:t>
      </w:r>
      <w:r>
        <w:t xml:space="preserve"> </w:t>
      </w:r>
      <w:r>
        <w:t xml:space="preserve">Morphotype identities from BLAST sequence results with accompaning GenBank ID, percent match, query cover, and e value.</w:t>
      </w:r>
    </w:p>
    <w:p>
      <w:pPr>
        <w:pStyle w:val="Heading2"/>
      </w:pPr>
      <w:bookmarkStart w:id="74" w:name="focused-project-plant-species-phyllosphere-comparison-results"/>
      <w:bookmarkEnd w:id="74"/>
      <w:r>
        <w:t xml:space="preserve">Focused Project: Plant Species Phyllosphere Comparison Results</w:t>
      </w:r>
    </w:p>
    <w:p>
      <w:pPr>
        <w:pStyle w:val="Figure"/>
      </w:pPr>
      <w:r>
        <w:drawing>
          <wp:inline>
            <wp:extent cx="5334000" cy="2588814"/>
            <wp:effectExtent b="0" l="0" r="0" t="0"/>
            <wp:docPr descr="" title="" id="1" name="Picture"/>
            <a:graphic>
              <a:graphicData uri="http://schemas.openxmlformats.org/drawingml/2006/picture">
                <pic:pic>
                  <pic:nvPicPr>
                    <pic:cNvPr descr="data/images/final_project_TSA_plate_examples.jpg" id="0" name="Picture"/>
                    <pic:cNvPicPr>
                      <a:picLocks noChangeArrowheads="1" noChangeAspect="1"/>
                    </pic:cNvPicPr>
                  </pic:nvPicPr>
                  <pic:blipFill>
                    <a:blip r:embed="rId75"/>
                    <a:stretch>
                      <a:fillRect/>
                    </a:stretch>
                  </pic:blipFill>
                  <pic:spPr bwMode="auto">
                    <a:xfrm>
                      <a:off x="0" y="0"/>
                      <a:ext cx="5334000" cy="2588814"/>
                    </a:xfrm>
                    <a:prstGeom prst="rect">
                      <a:avLst/>
                    </a:prstGeom>
                    <a:noFill/>
                    <a:ln w="9525">
                      <a:noFill/>
                      <a:headEnd/>
                      <a:tailEnd/>
                    </a:ln>
                  </pic:spPr>
                </pic:pic>
              </a:graphicData>
            </a:graphic>
          </wp:inline>
        </w:drawing>
      </w:r>
    </w:p>
    <w:p>
      <w:pPr>
        <w:pStyle w:val="FirstParagraph"/>
      </w:pPr>
      <w:r>
        <w:rPr>
          <w:b/>
        </w:rPr>
        <w:t xml:space="preserve">Figure 12:</w:t>
      </w:r>
      <w:r>
        <w:t xml:space="preserve"> </w:t>
      </w:r>
      <w:r>
        <w:t xml:space="preserve">Examples of a TSA plates that were considered to be highly abundant (over 500 colonies) and extremely sparse (i.e. no colonies grown).</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colony-counts-boxplot-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Number of colonies observed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21677.97</w:t>
            </w:r>
          </w:p>
        </w:tc>
        <w:tc>
          <w:p>
            <w:pPr>
              <w:pStyle w:val="Compact"/>
              <w:jc w:val="right"/>
            </w:pPr>
            <w:r>
              <w:t xml:space="preserve">5419.49</w:t>
            </w:r>
          </w:p>
        </w:tc>
        <w:tc>
          <w:p>
            <w:pPr>
              <w:pStyle w:val="Compact"/>
              <w:jc w:val="right"/>
            </w:pPr>
            <w:r>
              <w:t xml:space="preserve">6.7</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68781.41</w:t>
            </w:r>
          </w:p>
        </w:tc>
        <w:tc>
          <w:p>
            <w:pPr>
              <w:pStyle w:val="Compact"/>
              <w:jc w:val="right"/>
            </w:pPr>
            <w:r>
              <w:t xml:space="preserve">809.19</w:t>
            </w:r>
          </w:p>
        </w:tc>
        <w:tc>
          <w:p>
            <w:pPr>
              <w:pStyle w:val="Compact"/>
              <w:jc w:val="right"/>
            </w:pPr>
            <w:r>
              <w:t xml:space="preserve">NA</w:t>
            </w:r>
          </w:p>
        </w:tc>
        <w:tc>
          <w:p>
            <w:pPr>
              <w:pStyle w:val="Compact"/>
              <w:jc w:val="right"/>
            </w:pPr>
            <w:r>
              <w:t xml:space="preserve">NA</w:t>
            </w:r>
          </w:p>
        </w:tc>
      </w:tr>
    </w:tbl>
    <w:p>
      <w:pPr>
        <w:pStyle w:val="BodyText"/>
      </w:pPr>
      <w:r>
        <w:rPr>
          <w:b/>
        </w:rPr>
        <w:t xml:space="preserve">Table 7:</w:t>
      </w:r>
      <w:r>
        <w:t xml:space="preserve"> </w:t>
      </w:r>
      <w:r>
        <w:t xml:space="preserve">Statistical analysis of the number of colonies. P-value of the number of colony counts for the different plant species is equal to 0.</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morphology-counts-boxplot-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14:</w:t>
      </w:r>
      <w:r>
        <w:t xml:space="preserve"> </w:t>
      </w:r>
      <w:r>
        <w:t xml:space="preserve">Count of different morphotypes present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319.11</w:t>
            </w:r>
          </w:p>
        </w:tc>
        <w:tc>
          <w:p>
            <w:pPr>
              <w:pStyle w:val="Compact"/>
              <w:jc w:val="right"/>
            </w:pPr>
            <w:r>
              <w:t xml:space="preserve">79.78</w:t>
            </w:r>
          </w:p>
        </w:tc>
        <w:tc>
          <w:p>
            <w:pPr>
              <w:pStyle w:val="Compact"/>
              <w:jc w:val="right"/>
            </w:pPr>
            <w:r>
              <w:t xml:space="preserve">19.92</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340.49</w:t>
            </w:r>
          </w:p>
        </w:tc>
        <w:tc>
          <w:p>
            <w:pPr>
              <w:pStyle w:val="Compact"/>
              <w:jc w:val="right"/>
            </w:pPr>
            <w:r>
              <w:t xml:space="preserve">4.01</w:t>
            </w:r>
          </w:p>
        </w:tc>
        <w:tc>
          <w:p>
            <w:pPr>
              <w:pStyle w:val="Compact"/>
              <w:jc w:val="right"/>
            </w:pPr>
            <w:r>
              <w:t xml:space="preserve">NA</w:t>
            </w:r>
          </w:p>
        </w:tc>
        <w:tc>
          <w:p>
            <w:pPr>
              <w:pStyle w:val="Compact"/>
              <w:jc w:val="right"/>
            </w:pPr>
            <w:r>
              <w:t xml:space="preserve">NA</w:t>
            </w:r>
          </w:p>
        </w:tc>
      </w:tr>
    </w:tbl>
    <w:p>
      <w:pPr>
        <w:pStyle w:val="BodyText"/>
      </w:pPr>
      <w:r>
        <w:rPr>
          <w:b/>
        </w:rPr>
        <w:t xml:space="preserve">Table 8:</w:t>
      </w:r>
      <w:r>
        <w:t xml:space="preserve"> </w:t>
      </w:r>
      <w:r>
        <w:t xml:space="preserve">Statistical analysis of the number of morphotypes. P-value of the morphotype counts for the different plant species is equal to 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-1.58</w:t>
            </w:r>
          </w:p>
        </w:tc>
        <w:tc>
          <w:p>
            <w:pPr>
              <w:pStyle w:val="Compact"/>
              <w:jc w:val="right"/>
            </w:pPr>
            <w:r>
              <w:t xml:space="preserve">-27.30</w:t>
            </w:r>
          </w:p>
        </w:tc>
        <w:tc>
          <w:p>
            <w:pPr>
              <w:pStyle w:val="Compact"/>
              <w:jc w:val="right"/>
            </w:pPr>
            <w:r>
              <w:t xml:space="preserve">24.14</w:t>
            </w:r>
          </w:p>
        </w:tc>
        <w:tc>
          <w:p>
            <w:pPr>
              <w:pStyle w:val="Compact"/>
              <w:jc w:val="right"/>
            </w:pPr>
            <w:r>
              <w:t xml:space="preserve">1.00</w:t>
            </w:r>
          </w:p>
        </w:tc>
      </w:tr>
      <w:tr>
        <w:tc>
          <w:p>
            <w:pPr>
              <w:pStyle w:val="Compact"/>
              <w:jc w:val="left"/>
            </w:pPr>
            <w:r>
              <w:t xml:space="preserve">lavendar-california_goldfields</w:t>
            </w:r>
          </w:p>
        </w:tc>
        <w:tc>
          <w:p>
            <w:pPr>
              <w:pStyle w:val="Compact"/>
              <w:jc w:val="right"/>
            </w:pPr>
            <w:r>
              <w:t xml:space="preserve">4.76</w:t>
            </w:r>
          </w:p>
        </w:tc>
        <w:tc>
          <w:p>
            <w:pPr>
              <w:pStyle w:val="Compact"/>
              <w:jc w:val="right"/>
            </w:pPr>
            <w:r>
              <w:t xml:space="preserve">-20.64</w:t>
            </w:r>
          </w:p>
        </w:tc>
        <w:tc>
          <w:p>
            <w:pPr>
              <w:pStyle w:val="Compact"/>
              <w:jc w:val="right"/>
            </w:pPr>
            <w:r>
              <w:t xml:space="preserve">30.16</w:t>
            </w:r>
          </w:p>
        </w:tc>
        <w:tc>
          <w:p>
            <w:pPr>
              <w:pStyle w:val="Compact"/>
              <w:jc w:val="right"/>
            </w:pPr>
            <w:r>
              <w:t xml:space="preserve">0.98</w:t>
            </w:r>
          </w:p>
        </w:tc>
      </w:tr>
      <w:tr>
        <w:tc>
          <w:p>
            <w:pPr>
              <w:pStyle w:val="Compact"/>
              <w:jc w:val="left"/>
            </w:pPr>
            <w:r>
              <w:t xml:space="preserve">mexican_marigold-california_goldfields</w:t>
            </w:r>
          </w:p>
        </w:tc>
        <w:tc>
          <w:p>
            <w:pPr>
              <w:pStyle w:val="Compact"/>
              <w:jc w:val="right"/>
            </w:pPr>
            <w:r>
              <w:t xml:space="preserve">20.13</w:t>
            </w:r>
          </w:p>
        </w:tc>
        <w:tc>
          <w:p>
            <w:pPr>
              <w:pStyle w:val="Compact"/>
              <w:jc w:val="right"/>
            </w:pPr>
            <w:r>
              <w:t xml:space="preserve">-7.26</w:t>
            </w:r>
          </w:p>
        </w:tc>
        <w:tc>
          <w:p>
            <w:pPr>
              <w:pStyle w:val="Compact"/>
              <w:jc w:val="right"/>
            </w:pPr>
            <w:r>
              <w:t xml:space="preserve">47.51</w:t>
            </w:r>
          </w:p>
        </w:tc>
        <w:tc>
          <w:p>
            <w:pPr>
              <w:pStyle w:val="Compact"/>
              <w:jc w:val="right"/>
            </w:pPr>
            <w:r>
              <w:t xml:space="preserve">0.25</w:t>
            </w:r>
          </w:p>
        </w:tc>
      </w:tr>
      <w:tr>
        <w:tc>
          <w:p>
            <w:pPr>
              <w:pStyle w:val="Compact"/>
              <w:jc w:val="left"/>
            </w:pPr>
            <w:r>
              <w:t xml:space="preserve">wax_begonia-california_goldfields</w:t>
            </w:r>
          </w:p>
        </w:tc>
        <w:tc>
          <w:p>
            <w:pPr>
              <w:pStyle w:val="Compact"/>
              <w:jc w:val="right"/>
            </w:pPr>
            <w:r>
              <w:t xml:space="preserve">40.09</w:t>
            </w:r>
          </w:p>
        </w:tc>
        <w:tc>
          <w:p>
            <w:pPr>
              <w:pStyle w:val="Compact"/>
              <w:jc w:val="right"/>
            </w:pPr>
            <w:r>
              <w:t xml:space="preserve">13.62</w:t>
            </w:r>
          </w:p>
        </w:tc>
        <w:tc>
          <w:p>
            <w:pPr>
              <w:pStyle w:val="Compact"/>
              <w:jc w:val="right"/>
            </w:pPr>
            <w:r>
              <w:t xml:space="preserve">66.56</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6.34</w:t>
            </w:r>
          </w:p>
        </w:tc>
        <w:tc>
          <w:p>
            <w:pPr>
              <w:pStyle w:val="Compact"/>
              <w:jc w:val="right"/>
            </w:pPr>
            <w:r>
              <w:t xml:space="preserve">-19.06</w:t>
            </w:r>
          </w:p>
        </w:tc>
        <w:tc>
          <w:p>
            <w:pPr>
              <w:pStyle w:val="Compact"/>
              <w:jc w:val="right"/>
            </w:pPr>
            <w:r>
              <w:t xml:space="preserve">31.74</w:t>
            </w:r>
          </w:p>
        </w:tc>
        <w:tc>
          <w:p>
            <w:pPr>
              <w:pStyle w:val="Compact"/>
              <w:jc w:val="right"/>
            </w:pPr>
            <w:r>
              <w:t xml:space="preserve">0.96</w:t>
            </w:r>
          </w:p>
        </w:tc>
      </w:tr>
      <w:tr>
        <w:tc>
          <w:p>
            <w:pPr>
              <w:pStyle w:val="Compact"/>
              <w:jc w:val="left"/>
            </w:pPr>
            <w:r>
              <w:t xml:space="preserve">mexican_marigold-california_poppy</w:t>
            </w:r>
          </w:p>
        </w:tc>
        <w:tc>
          <w:p>
            <w:pPr>
              <w:pStyle w:val="Compact"/>
              <w:jc w:val="right"/>
            </w:pPr>
            <w:r>
              <w:t xml:space="preserve">21.71</w:t>
            </w:r>
          </w:p>
        </w:tc>
        <w:tc>
          <w:p>
            <w:pPr>
              <w:pStyle w:val="Compact"/>
              <w:jc w:val="right"/>
            </w:pPr>
            <w:r>
              <w:t xml:space="preserve">-5.68</w:t>
            </w:r>
          </w:p>
        </w:tc>
        <w:tc>
          <w:p>
            <w:pPr>
              <w:pStyle w:val="Compact"/>
              <w:jc w:val="right"/>
            </w:pPr>
            <w:r>
              <w:t xml:space="preserve">49.09</w:t>
            </w:r>
          </w:p>
        </w:tc>
        <w:tc>
          <w:p>
            <w:pPr>
              <w:pStyle w:val="Compact"/>
              <w:jc w:val="right"/>
            </w:pPr>
            <w:r>
              <w:t xml:space="preserve">0.19</w:t>
            </w:r>
          </w:p>
        </w:tc>
      </w:tr>
      <w:tr>
        <w:tc>
          <w:p>
            <w:pPr>
              <w:pStyle w:val="Compact"/>
              <w:jc w:val="left"/>
            </w:pPr>
            <w:r>
              <w:t xml:space="preserve">wax_begonia-california_poppy</w:t>
            </w:r>
          </w:p>
        </w:tc>
        <w:tc>
          <w:p>
            <w:pPr>
              <w:pStyle w:val="Compact"/>
              <w:jc w:val="right"/>
            </w:pPr>
            <w:r>
              <w:t xml:space="preserve">41.67</w:t>
            </w:r>
          </w:p>
        </w:tc>
        <w:tc>
          <w:p>
            <w:pPr>
              <w:pStyle w:val="Compact"/>
              <w:jc w:val="right"/>
            </w:pPr>
            <w:r>
              <w:t xml:space="preserve">15.20</w:t>
            </w:r>
          </w:p>
        </w:tc>
        <w:tc>
          <w:p>
            <w:pPr>
              <w:pStyle w:val="Compact"/>
              <w:jc w:val="right"/>
            </w:pPr>
            <w:r>
              <w:t xml:space="preserve">68.14</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15.37</w:t>
            </w:r>
          </w:p>
        </w:tc>
        <w:tc>
          <w:p>
            <w:pPr>
              <w:pStyle w:val="Compact"/>
              <w:jc w:val="right"/>
            </w:pPr>
            <w:r>
              <w:t xml:space="preserve">-11.71</w:t>
            </w:r>
          </w:p>
        </w:tc>
        <w:tc>
          <w:p>
            <w:pPr>
              <w:pStyle w:val="Compact"/>
              <w:jc w:val="right"/>
            </w:pPr>
            <w:r>
              <w:t xml:space="preserve">42.45</w:t>
            </w:r>
          </w:p>
        </w:tc>
        <w:tc>
          <w:p>
            <w:pPr>
              <w:pStyle w:val="Compact"/>
              <w:jc w:val="right"/>
            </w:pPr>
            <w:r>
              <w:t xml:space="preserve">0.51</w:t>
            </w:r>
          </w:p>
        </w:tc>
      </w:tr>
      <w:tr>
        <w:tc>
          <w:p>
            <w:pPr>
              <w:pStyle w:val="Compact"/>
              <w:jc w:val="left"/>
            </w:pPr>
            <w:r>
              <w:t xml:space="preserve">wax_begonia-lavendar</w:t>
            </w:r>
          </w:p>
        </w:tc>
        <w:tc>
          <w:p>
            <w:pPr>
              <w:pStyle w:val="Compact"/>
              <w:jc w:val="right"/>
            </w:pPr>
            <w:r>
              <w:t xml:space="preserve">35.32</w:t>
            </w:r>
          </w:p>
        </w:tc>
        <w:tc>
          <w:p>
            <w:pPr>
              <w:pStyle w:val="Compact"/>
              <w:jc w:val="right"/>
            </w:pPr>
            <w:r>
              <w:t xml:space="preserve">9.17</w:t>
            </w:r>
          </w:p>
        </w:tc>
        <w:tc>
          <w:p>
            <w:pPr>
              <w:pStyle w:val="Compact"/>
              <w:jc w:val="right"/>
            </w:pPr>
            <w:r>
              <w:t xml:space="preserve">61.48</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19.96</w:t>
            </w:r>
          </w:p>
        </w:tc>
        <w:tc>
          <w:p>
            <w:pPr>
              <w:pStyle w:val="Compact"/>
              <w:jc w:val="right"/>
            </w:pPr>
            <w:r>
              <w:t xml:space="preserve">-8.13</w:t>
            </w:r>
          </w:p>
        </w:tc>
        <w:tc>
          <w:p>
            <w:pPr>
              <w:pStyle w:val="Compact"/>
              <w:jc w:val="right"/>
            </w:pPr>
            <w:r>
              <w:t xml:space="preserve">48.04</w:t>
            </w:r>
          </w:p>
        </w:tc>
        <w:tc>
          <w:p>
            <w:pPr>
              <w:pStyle w:val="Compact"/>
              <w:jc w:val="right"/>
            </w:pPr>
            <w:r>
              <w:t xml:space="preserve">0.28</w:t>
            </w:r>
          </w:p>
        </w:tc>
      </w:tr>
    </w:tbl>
    <w:p>
      <w:pPr>
        <w:pStyle w:val="BodyText"/>
      </w:pPr>
      <w:r>
        <w:rPr>
          <w:b/>
        </w:rPr>
        <w:t xml:space="preserve">Table 9:</w:t>
      </w:r>
      <w:r>
        <w:t xml:space="preserve"> </w:t>
      </w:r>
      <w:r>
        <w:t xml:space="preserve">Pairwise comparisons of the number of colony counts based on the different plant species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-1.05</w:t>
            </w:r>
          </w:p>
        </w:tc>
        <w:tc>
          <w:p>
            <w:pPr>
              <w:pStyle w:val="Compact"/>
              <w:jc w:val="right"/>
            </w:pPr>
            <w:r>
              <w:t xml:space="preserve">-2.86</w:t>
            </w:r>
          </w:p>
        </w:tc>
        <w:tc>
          <w:p>
            <w:pPr>
              <w:pStyle w:val="Compact"/>
              <w:jc w:val="right"/>
            </w:pPr>
            <w:r>
              <w:t xml:space="preserve">0.76</w:t>
            </w:r>
          </w:p>
        </w:tc>
        <w:tc>
          <w:p>
            <w:pPr>
              <w:pStyle w:val="Compact"/>
              <w:jc w:val="right"/>
            </w:pPr>
            <w:r>
              <w:t xml:space="preserve">0.49</w:t>
            </w:r>
          </w:p>
        </w:tc>
      </w:tr>
      <w:tr>
        <w:tc>
          <w:p>
            <w:pPr>
              <w:pStyle w:val="Compact"/>
              <w:jc w:val="left"/>
            </w:pPr>
            <w:r>
              <w:t xml:space="preserve">lavendar-california_goldfields</w:t>
            </w:r>
          </w:p>
        </w:tc>
        <w:tc>
          <w:p>
            <w:pPr>
              <w:pStyle w:val="Compact"/>
              <w:jc w:val="right"/>
            </w:pPr>
            <w:r>
              <w:t xml:space="preserve">-0.71</w:t>
            </w:r>
          </w:p>
        </w:tc>
        <w:tc>
          <w:p>
            <w:pPr>
              <w:pStyle w:val="Compact"/>
              <w:jc w:val="right"/>
            </w:pPr>
            <w:r>
              <w:t xml:space="preserve">-2.50</w:t>
            </w:r>
          </w:p>
        </w:tc>
        <w:tc>
          <w:p>
            <w:pPr>
              <w:pStyle w:val="Compact"/>
              <w:jc w:val="right"/>
            </w:pPr>
            <w:r>
              <w:t xml:space="preserve">1.08</w:t>
            </w:r>
          </w:p>
        </w:tc>
        <w:tc>
          <w:p>
            <w:pPr>
              <w:pStyle w:val="Compact"/>
              <w:jc w:val="right"/>
            </w:pPr>
            <w:r>
              <w:t xml:space="preserve">0.80</w:t>
            </w:r>
          </w:p>
        </w:tc>
      </w:tr>
      <w:tr>
        <w:tc>
          <w:p>
            <w:pPr>
              <w:pStyle w:val="Compact"/>
              <w:jc w:val="left"/>
            </w:pPr>
            <w:r>
              <w:t xml:space="preserve">mexican_marigold-california_goldfields</w:t>
            </w:r>
          </w:p>
        </w:tc>
        <w:tc>
          <w:p>
            <w:pPr>
              <w:pStyle w:val="Compact"/>
              <w:jc w:val="right"/>
            </w:pPr>
            <w:r>
              <w:t xml:space="preserve">2.12</w:t>
            </w:r>
          </w:p>
        </w:tc>
        <w:tc>
          <w:p>
            <w:pPr>
              <w:pStyle w:val="Compact"/>
              <w:jc w:val="right"/>
            </w:pPr>
            <w:r>
              <w:t xml:space="preserve">0.20</w:t>
            </w:r>
          </w:p>
        </w:tc>
        <w:tc>
          <w:p>
            <w:pPr>
              <w:pStyle w:val="Compact"/>
              <w:jc w:val="right"/>
            </w:pPr>
            <w:r>
              <w:t xml:space="preserve">4.05</w:t>
            </w:r>
          </w:p>
        </w:tc>
        <w:tc>
          <w:p>
            <w:pPr>
              <w:pStyle w:val="Compact"/>
              <w:jc w:val="right"/>
            </w:pPr>
            <w:r>
              <w:t xml:space="preserve">0.02</w:t>
            </w:r>
          </w:p>
        </w:tc>
      </w:tr>
      <w:tr>
        <w:tc>
          <w:p>
            <w:pPr>
              <w:pStyle w:val="Compact"/>
              <w:jc w:val="left"/>
            </w:pPr>
            <w:r>
              <w:t xml:space="preserve">wax_begonia-california_goldfields</w:t>
            </w:r>
          </w:p>
        </w:tc>
        <w:tc>
          <w:p>
            <w:pPr>
              <w:pStyle w:val="Compact"/>
              <w:jc w:val="right"/>
            </w:pPr>
            <w:r>
              <w:t xml:space="preserve">3.97</w:t>
            </w:r>
          </w:p>
        </w:tc>
        <w:tc>
          <w:p>
            <w:pPr>
              <w:pStyle w:val="Compact"/>
              <w:jc w:val="right"/>
            </w:pPr>
            <w:r>
              <w:t xml:space="preserve">2.10</w:t>
            </w:r>
          </w:p>
        </w:tc>
        <w:tc>
          <w:p>
            <w:pPr>
              <w:pStyle w:val="Compact"/>
              <w:jc w:val="right"/>
            </w:pPr>
            <w:r>
              <w:t xml:space="preserve">5.83</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0.34</w:t>
            </w:r>
          </w:p>
        </w:tc>
        <w:tc>
          <w:p>
            <w:pPr>
              <w:pStyle w:val="Compact"/>
              <w:jc w:val="right"/>
            </w:pPr>
            <w:r>
              <w:t xml:space="preserve">-1.44</w:t>
            </w:r>
          </w:p>
        </w:tc>
        <w:tc>
          <w:p>
            <w:pPr>
              <w:pStyle w:val="Compact"/>
              <w:jc w:val="right"/>
            </w:pPr>
            <w:r>
              <w:t xml:space="preserve">2.13</w:t>
            </w:r>
          </w:p>
        </w:tc>
        <w:tc>
          <w:p>
            <w:pPr>
              <w:pStyle w:val="Compact"/>
              <w:jc w:val="right"/>
            </w:pPr>
            <w:r>
              <w:t xml:space="preserve">0.98</w:t>
            </w:r>
          </w:p>
        </w:tc>
      </w:tr>
      <w:tr>
        <w:tc>
          <w:p>
            <w:pPr>
              <w:pStyle w:val="Compact"/>
              <w:jc w:val="left"/>
            </w:pPr>
            <w:r>
              <w:t xml:space="preserve">mexican_marigold-california_poppy</w:t>
            </w:r>
          </w:p>
        </w:tc>
        <w:tc>
          <w:p>
            <w:pPr>
              <w:pStyle w:val="Compact"/>
              <w:jc w:val="right"/>
            </w:pPr>
            <w:r>
              <w:t xml:space="preserve">3.18</w:t>
            </w:r>
          </w:p>
        </w:tc>
        <w:tc>
          <w:p>
            <w:pPr>
              <w:pStyle w:val="Compact"/>
              <w:jc w:val="right"/>
            </w:pPr>
            <w:r>
              <w:t xml:space="preserve">1.25</w:t>
            </w:r>
          </w:p>
        </w:tc>
        <w:tc>
          <w:p>
            <w:pPr>
              <w:pStyle w:val="Compact"/>
              <w:jc w:val="right"/>
            </w:pPr>
            <w:r>
              <w:t xml:space="preserve">5.10</w:t>
            </w:r>
          </w:p>
        </w:tc>
        <w:tc>
          <w:p>
            <w:pPr>
              <w:pStyle w:val="Compact"/>
              <w:jc w:val="right"/>
            </w:pPr>
            <w:r>
              <w:t xml:space="preserve">0.00</w:t>
            </w:r>
          </w:p>
        </w:tc>
      </w:tr>
      <w:tr>
        <w:tc>
          <w:p>
            <w:pPr>
              <w:pStyle w:val="Compact"/>
              <w:jc w:val="left"/>
            </w:pPr>
            <w:r>
              <w:t xml:space="preserve">wax_begonia-california_poppy</w:t>
            </w:r>
          </w:p>
        </w:tc>
        <w:tc>
          <w:p>
            <w:pPr>
              <w:pStyle w:val="Compact"/>
              <w:jc w:val="right"/>
            </w:pPr>
            <w:r>
              <w:t xml:space="preserve">5.02</w:t>
            </w:r>
          </w:p>
        </w:tc>
        <w:tc>
          <w:p>
            <w:pPr>
              <w:pStyle w:val="Compact"/>
              <w:jc w:val="right"/>
            </w:pPr>
            <w:r>
              <w:t xml:space="preserve">3.16</w:t>
            </w:r>
          </w:p>
        </w:tc>
        <w:tc>
          <w:p>
            <w:pPr>
              <w:pStyle w:val="Compact"/>
              <w:jc w:val="right"/>
            </w:pPr>
            <w:r>
              <w:t xml:space="preserve">6.88</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2.83</w:t>
            </w:r>
          </w:p>
        </w:tc>
        <w:tc>
          <w:p>
            <w:pPr>
              <w:pStyle w:val="Compact"/>
              <w:jc w:val="right"/>
            </w:pPr>
            <w:r>
              <w:t xml:space="preserve">0.93</w:t>
            </w:r>
          </w:p>
        </w:tc>
        <w:tc>
          <w:p>
            <w:pPr>
              <w:pStyle w:val="Compact"/>
              <w:jc w:val="right"/>
            </w:pPr>
            <w:r>
              <w:t xml:space="preserve">4.74</w:t>
            </w:r>
          </w:p>
        </w:tc>
        <w:tc>
          <w:p>
            <w:pPr>
              <w:pStyle w:val="Compact"/>
              <w:jc w:val="right"/>
            </w:pPr>
            <w:r>
              <w:t xml:space="preserve">0.00</w:t>
            </w:r>
          </w:p>
        </w:tc>
      </w:tr>
      <w:tr>
        <w:tc>
          <w:p>
            <w:pPr>
              <w:pStyle w:val="Compact"/>
              <w:jc w:val="left"/>
            </w:pPr>
            <w:r>
              <w:t xml:space="preserve">wax_begonia-lavendar</w:t>
            </w:r>
          </w:p>
        </w:tc>
        <w:tc>
          <w:p>
            <w:pPr>
              <w:pStyle w:val="Compact"/>
              <w:jc w:val="right"/>
            </w:pPr>
            <w:r>
              <w:t xml:space="preserve">4.68</w:t>
            </w:r>
          </w:p>
        </w:tc>
        <w:tc>
          <w:p>
            <w:pPr>
              <w:pStyle w:val="Compact"/>
              <w:jc w:val="right"/>
            </w:pPr>
            <w:r>
              <w:t xml:space="preserve">2.84</w:t>
            </w:r>
          </w:p>
        </w:tc>
        <w:tc>
          <w:p>
            <w:pPr>
              <w:pStyle w:val="Compact"/>
              <w:jc w:val="right"/>
            </w:pPr>
            <w:r>
              <w:t xml:space="preserve">6.52</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1.84</w:t>
            </w:r>
          </w:p>
        </w:tc>
        <w:tc>
          <w:p>
            <w:pPr>
              <w:pStyle w:val="Compact"/>
              <w:jc w:val="right"/>
            </w:pPr>
            <w:r>
              <w:t xml:space="preserve">-0.13</w:t>
            </w:r>
          </w:p>
        </w:tc>
        <w:tc>
          <w:p>
            <w:pPr>
              <w:pStyle w:val="Compact"/>
              <w:jc w:val="right"/>
            </w:pPr>
            <w:r>
              <w:t xml:space="preserve">3.82</w:t>
            </w:r>
          </w:p>
        </w:tc>
        <w:tc>
          <w:p>
            <w:pPr>
              <w:pStyle w:val="Compact"/>
              <w:jc w:val="right"/>
            </w:pPr>
            <w:r>
              <w:t xml:space="preserve">0.08</w:t>
            </w:r>
          </w:p>
        </w:tc>
      </w:tr>
    </w:tbl>
    <w:p>
      <w:pPr>
        <w:pStyle w:val="BodyText"/>
      </w:pPr>
      <w:r>
        <w:rPr>
          <w:b/>
        </w:rPr>
        <w:t xml:space="preserve">Table 10:</w:t>
      </w:r>
      <w:r>
        <w:t xml:space="preserve"> </w:t>
      </w:r>
      <w:r>
        <w:t xml:space="preserve">Pairwise comparisons of the number of morphology counts based on the different plant species sampled.</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78"/>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15:</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11:</w:t>
      </w:r>
      <w:r>
        <w:t xml:space="preserve"> </w:t>
      </w:r>
      <w:r>
        <w:t xml:space="preserve">Morphotype identities from BLAST sequence results with accompaning GenBank ID, percent match, query cover, and e value.</w:t>
      </w:r>
    </w:p>
    <w:p>
      <w:pPr>
        <w:pStyle w:val="Heading1"/>
      </w:pPr>
      <w:bookmarkStart w:id="79" w:name="sources-cited"/>
      <w:bookmarkEnd w:id="79"/>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Davis GL, others. 1967. Systematic embryology of the angiosperms. Systematic embryology of the angiosperms.</w:t>
      </w:r>
    </w:p>
    <w:p>
      <w:pPr>
        <w:pStyle w:val="Bibliography"/>
      </w:pPr>
      <w:r>
        <w:t xml:space="preserve">12. Berg G, Grube M, Schloter M, Smalla K. 2014. The plant microbiome and its importance for plant and human health. Frontiers in microbiology 5:1.</w:t>
      </w:r>
    </w:p>
    <w:p>
      <w:pPr>
        <w:pStyle w:val="Bibliography"/>
      </w:pPr>
      <w:r>
        <w:t xml:space="preserve">13. Vorholt JA. 2012. Microbial life in the phyllosphere. Nature Reviews Microbiology 10:828.</w:t>
      </w:r>
    </w:p>
    <w:p>
      <w:pPr>
        <w:pStyle w:val="Bibliography"/>
      </w:pPr>
      <w:r>
        <w:t xml:space="preserve">14. Huelsenbeck JP, Ronquist F, Nielsen R, Bollback JP. 2001. Bayesian inference of phylogeny and its impact on evolutionary biology. science 294:2310–2314.</w:t>
      </w:r>
    </w:p>
    <w:p>
      <w:pPr>
        <w:pStyle w:val="Bibliography"/>
      </w:pPr>
      <w:r>
        <w:t xml:space="preserve">15. Wizemann T, Olsen L, Choffnes ER, others. 2013. The science and applications of microbial genomics: Workshop summary. National Academies Press.</w:t>
      </w:r>
    </w:p>
    <w:p>
      <w:pPr>
        <w:pStyle w:val="Bibliography"/>
      </w:pPr>
      <w:r>
        <w:t xml:space="preserve">16. Schindelin J, Arganda-Carreras I, Frise E, Kaynig V, Longair M, Pietzsch T, Preibisch S, Rueden C, Saalfeld S, Schmid B, others. 2012. Fiji: An open-source platform for biological-image analysis. Nature methods 9:676.</w:t>
      </w:r>
    </w:p>
    <w:p>
      <w:pPr>
        <w:pStyle w:val="Bibliography"/>
      </w:pPr>
      <w:r>
        <w:t xml:space="preserve">17. Kumar S, Nei M, Dudley J, Tamura K. 2008. MEGA: A biologist-centric software for evolutionary analysis of dna and protein sequences. Briefings in bioinformatics 9:299–306.</w:t>
      </w:r>
    </w:p>
    <w:p>
      <w:pPr>
        <w:pStyle w:val="Bibliography"/>
      </w:pPr>
      <w:r>
        <w:t xml:space="preserve">18. Nei M, Kumar S. 2000. Molecular evolution and phylogenetics. Oxford university press.</w:t>
      </w:r>
    </w:p>
    <w:p>
      <w:pPr>
        <w:pStyle w:val="Bibliography"/>
      </w:pPr>
      <w:r>
        <w:t xml:space="preserve">19. Kumar S, Stecher G, Tamura K. 2016. MEGA7: Molecular evolutionary genetics analysis version 7.0 for bigger datasets. Molecular biology and evolution 33:1870–1874.</w:t>
      </w:r>
    </w:p>
    <w:p>
      <w:pPr>
        <w:pStyle w:val="Bibliography"/>
      </w:pPr>
      <w:r>
        <w:t xml:space="preserve">20.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21. Mitchell CE, Power AG. 2003. Release of invasive plants from fungal and viral pathogens. Nature 421:625.</w:t>
      </w:r>
    </w:p>
    <w:p>
      <w:pPr>
        <w:pStyle w:val="Bibliography"/>
      </w:pPr>
      <w:r>
        <w:t xml:space="preserve">22.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23.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24.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25. Kumar CG, Mamidyala SK. 2011. Extracellular synthesis of silver nanoparticles using culture supernatant of pseudomonas aeruginosa. Colloids and Surfaces B: Biointerfaces 84:462–466.</w:t>
      </w:r>
    </w:p>
    <w:p>
      <w:pPr>
        <w:pStyle w:val="Bibliography"/>
      </w:pPr>
      <w:r>
        <w:t xml:space="preserve">26. Chen Z, Kloek AP, Boch J, Katagiri F, Kunkel BN. 2000. The pseudomonas syringae avrRpt2 gene product promotes pathogen virulence from inside plant cells. Molecular Plant-Microbe Interactions 13:1312–1321.</w:t>
      </w:r>
    </w:p>
    <w:p>
      <w:pPr>
        <w:pStyle w:val="Bibliography"/>
      </w:pPr>
      <w:r>
        <w:t xml:space="preserve">27. Stout M, Fidantsef A, Duffey S, Bostock R. 1999. Signal interactions in pathogen and insect attack: Systemic plant-mediated interactions between pathogens and herbivores of the tomato, lycopersicon esculentum. Physiological and Molecular Plant Pathology 54:115–130.</w:t>
      </w:r>
    </w:p>
    <w:p>
      <w:pPr>
        <w:pStyle w:val="Bibliography"/>
      </w:pPr>
      <w:r>
        <w:t xml:space="preserve">28. Stöger A, Schaffer J, Ruppitsch W. 2006. A rapid and sensitive method for direct detection of erwinia amylovora in symptomatic and asymptomatic plant tissues by polymerase chain reaction. Journal of Phytopathology 154:469–473.</w:t>
      </w:r>
    </w:p>
    <w:p>
      <w:pPr>
        <w:pStyle w:val="Bibliography"/>
      </w:pPr>
      <w:r>
        <w:t xml:space="preserve">29. Jacobs JL, Sundin GW. 2001. Effect of solar uv-b radiation on a phyllosphere bacterial community. Appl Environ Microbiol 67:5488–5496.</w:t>
      </w:r>
    </w:p>
    <w:p>
      <w:pPr>
        <w:pStyle w:val="Bibliography"/>
      </w:pPr>
      <w:r>
        <w:t xml:space="preserve">30. Delétoile A, Decré D, Courant S, Passet V, Audo J, Grimont P, Arlet G, Brisse S. 2009. Phylogeny and identification of pantoea species and typing of pantoea agglomerans strains by multilocus gene sequencing. Journal of clinical microbiology 47:300–310.</w:t>
      </w:r>
    </w:p>
    <w:p>
      <w:pPr>
        <w:pStyle w:val="Bibliography"/>
      </w:pPr>
      <w:r>
        <w:t xml:space="preserve">31. Oke TR. 1973. City size and the urban heat island. Atmospheric Environment (1967) 7:769–779.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16d8a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1" Target="media/rId61.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62" Target="media/rId62.png" /><Relationship Type="http://schemas.openxmlformats.org/officeDocument/2006/relationships/image" Id="rId73" Target="media/rId73.pn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Pantoea sp., on various plant species located at the Lone Mountain portion of the University of San Francisco’s Hilltop Campus</dc:title>
  <dc:creator>Isabella Finney</dc:creator>
  <dcterms:created xsi:type="dcterms:W3CDTF">2019-05-17T13:30:50Z</dcterms:created>
  <dcterms:modified xsi:type="dcterms:W3CDTF">2019-05-17T13:30:50Z</dcterms:modified>
</cp:coreProperties>
</file>