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9.png" ContentType="image/pn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Override PartName="/word/media/rId46.jpg" ContentType="image/jpeg"/>
  <Override PartName="/word/media/rId4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April</w:t>
      </w:r>
      <w:r>
        <w:t xml:space="preserve"> </w:t>
      </w:r>
      <w:r>
        <w:t xml:space="preserve">11,</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100x magnification under immersion oil.</w:t>
      </w:r>
    </w:p>
    <w:p>
      <w:pPr>
        <w:pStyle w:val="Heading3"/>
      </w:pPr>
      <w:bookmarkStart w:id="28" w:name="dna-extraction-pcr-amplification-and-gel-electrophoresis"/>
      <w:bookmarkEnd w:id="28"/>
      <w:r>
        <w:t xml:space="preserve">DNA Extraction, PCR Amplification and Gel Electrophoresis</w:t>
      </w:r>
    </w:p>
    <w:p>
      <w:pPr>
        <w:pStyle w:val="FirstParagraph"/>
      </w:pPr>
      <w:r>
        <w:t xml:space="preserve">I followed the standard DNA extraction protocol for bacterial cells as provided in the SigmaREDExtract n’ Amp Plant Kit. For the PCR Amplification, the PCR recipe per reaction mixture is as follows: 4 µL template DNA, 10 µL Amp solution, 1 µL of 10µM 27f primer, 1 µL 10µM 1492r primer, 1 µL 1M BSA, and 3µL PCR H20. The temperature and run time for each PCR cycle are as follows: 3min at 94</w:t>
      </w:r>
      <m:oMath>
        <m:sSup>
          <m:e>
            <m:r>
              <m:t/>
            </m:r>
          </m:e>
          <m:sup>
            <m:r>
              <m:t>∘</m:t>
            </m:r>
          </m:sup>
        </m:sSup>
      </m:oMath>
      <w:r>
        <w:t xml:space="preserve">C, 30 seconds at 94</w:t>
      </w:r>
      <m:oMath>
        <m:sSup>
          <m:e>
            <m:r>
              <m:t/>
            </m:r>
          </m:e>
          <m:sup>
            <m:r>
              <m:t>∘</m:t>
            </m:r>
          </m:sup>
        </m:sSup>
      </m:oMath>
      <w:r>
        <w:t xml:space="preserve">C (35 times), 30 seconds at 55</w:t>
      </w:r>
      <m:oMath>
        <m:sSup>
          <m:e>
            <m:r>
              <m:t/>
            </m:r>
          </m:e>
          <m:sup>
            <m:r>
              <m:t>∘</m:t>
            </m:r>
          </m:sup>
        </m:sSup>
      </m:oMath>
      <w:r>
        <w:t xml:space="preserve">C (35 times), 2 minutes at 72</w:t>
      </w:r>
      <m:oMath>
        <m:sSup>
          <m:e>
            <m:r>
              <m:t/>
            </m:r>
          </m:e>
          <m:sup>
            <m:r>
              <m:t>∘</m:t>
            </m:r>
          </m:sup>
        </m:sSup>
      </m:oMath>
      <w:r>
        <w:t xml:space="preserve">C (35 times), 10 minutes at 72</w:t>
      </w:r>
      <m:oMath>
        <m:sSup>
          <m:e>
            <m:r>
              <m:t/>
            </m:r>
          </m:e>
          <m:sup>
            <m:r>
              <m:t>∘</m:t>
            </m:r>
          </m:sup>
        </m:sSup>
      </m:oMath>
      <w:r>
        <w:t xml:space="preserve">C, and holding at 4</w:t>
      </w:r>
      <m:oMath>
        <m:sSup>
          <m:e>
            <m:r>
              <m:t/>
            </m:r>
          </m:e>
          <m:sup>
            <m:r>
              <m:t>∘</m:t>
            </m:r>
          </m:sup>
        </m:sSup>
      </m:oMath>
      <w:r>
        <w:t xml:space="preserve">C. I checked for successful PCR amplification using gel electrophoresis for 30 min at 100V. Products were visualized with SYBR Safe and UV light. The ladder in image is a lab DNA builder. After checking for successful amplification using gel electrophoresis, PCR products were cleaned with Invitrogen ExoSAP. They were sent for unidirectional Sanger sequencing at MCLAB located in South San Francisco, CA.</w:t>
      </w:r>
    </w:p>
    <w:p>
      <w:pPr>
        <w:pStyle w:val="Heading2"/>
      </w:pPr>
      <w:bookmarkStart w:id="29" w:name="computational-analysis"/>
      <w:bookmarkEnd w:id="29"/>
      <w:r>
        <w:t xml:space="preserve">Computational Analysis</w:t>
      </w:r>
    </w:p>
    <w:p>
      <w:pPr>
        <w:pStyle w:val="Heading3"/>
      </w:pPr>
      <w:bookmarkStart w:id="30" w:name="culturing-analysis"/>
      <w:bookmarkEnd w:id="30"/>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3"/>
      </w:pPr>
      <w:bookmarkStart w:id="31" w:name="microscopy-analysis"/>
      <w:bookmarkEnd w:id="31"/>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 Finally, I created a markdown table displaying the appropriate characteristics I observed to be present per morphotype.</w:t>
      </w:r>
    </w:p>
    <w:p>
      <w:pPr>
        <w:pStyle w:val="Heading3"/>
      </w:pPr>
      <w:bookmarkStart w:id="32" w:name="phylogenic-analysis-by-maximum-likelihood-method"/>
      <w:bookmarkEnd w:id="32"/>
      <w:r>
        <w:t xml:space="preserve">Phylogenic Analysis by Maximum Likelihood Method</w:t>
      </w:r>
    </w:p>
    <w:p>
      <w:pPr>
        <w:pStyle w:val="FirstParagraph"/>
      </w:pPr>
      <w:r>
        <w:t xml:space="preserve">The evolutionary history was inferred by using the Maximum Likelihood method based on the General Time Reversible model</w:t>
      </w:r>
      <w:r>
        <w:t xml:space="preserve"> </w:t>
      </w:r>
      <w:r>
        <w:t xml:space="preserve">(8)</w:t>
      </w:r>
      <w:r>
        <w:t xml:space="preserve">. The tree with the highest log likelihood (-1393.40)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A discrete Gamma distribution was used to model evolutionary rate differences among sites (5 categories (+G, parameter = 200.0000)). The rate variation model allowed for some sites to be evolutionarily invariable ([+I], 0.00% sites). The tree is drawn to scale, with branch lengths measured in the number of substitutions per site. The analysis involved 6 nucleotide sequences. Codon positions included were 1st+2nd+3rd+Noncoding. All positions containing gaps and missing data were eliminated. There were a total of 250 positions in the final dataset. Evolutionary analyses were conducted in MEGA7</w:t>
      </w:r>
      <w:r>
        <w:t xml:space="preserve"> </w:t>
      </w:r>
      <w:r>
        <w:t xml:space="preserve">(9)</w:t>
      </w:r>
      <w:r>
        <w:t xml:space="preserve">.</w:t>
      </w:r>
    </w:p>
    <w:p>
      <w:pPr>
        <w:pStyle w:val="Heading1"/>
      </w:pPr>
      <w:bookmarkStart w:id="33" w:name="results"/>
      <w:bookmarkEnd w:id="33"/>
      <w:r>
        <w:t xml:space="preserve">Results</w:t>
      </w:r>
    </w:p>
    <w:p>
      <w:pPr>
        <w:pStyle w:val="Heading2"/>
      </w:pPr>
      <w:bookmarkStart w:id="34" w:name="colony-counts"/>
      <w:bookmarkEnd w:id="34"/>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5" w:name="detecting-morphotypes"/>
      <w:bookmarkEnd w:id="35"/>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Heading2"/>
      </w:pPr>
      <w:bookmarkStart w:id="36" w:name="categorizing-morphotypes-with-microscopy"/>
      <w:bookmarkEnd w:id="36"/>
      <w:r>
        <w:t xml:space="preserve">Categorizing Morphotypes with Microscopy</w:t>
      </w:r>
    </w:p>
    <w:p>
      <w:pPr>
        <w:pStyle w:val="FirstParagraph"/>
      </w:pPr>
      <w:r>
        <w:t xml:space="preserve">The predictions I made for my selected morphotypes based on the staining results are as follows: morphotype #1 is Azomonas agilis, morphotype #2 is Staphylococcus aureus, morphotype #3 is a Acidovorax spp., morphotype #4 is a Streptococcus spp., morphotype #5 is Bacillus subtilis, morphotype #6 is a Pseudomonas spp., and morphotype #7 is a Bacilius spp. (Table 2). From all of microbes I analyzed, only the 3rd and 4th morphotypes were gram positive.</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Heading2"/>
      </w:pPr>
      <w:bookmarkStart w:id="37" w:name="culturing-results"/>
      <w:bookmarkEnd w:id="37"/>
      <w:r>
        <w:t xml:space="preserve">Culturing Results</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40" w:name="microscopy-results"/>
      <w:bookmarkEnd w:id="40"/>
      <w:r>
        <w:t xml:space="preserve">Microscopy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2"/>
      </w:pPr>
      <w:bookmarkStart w:id="48" w:name="molecular-results"/>
      <w:bookmarkEnd w:id="48"/>
      <w:r>
        <w:t xml:space="preserve">Molecular Results</w:t>
      </w:r>
    </w:p>
    <w:p>
      <w:pPr>
        <w:pStyle w:val="FirstParagraph"/>
      </w:pPr>
      <w:r>
        <w:rPr>
          <w:b/>
        </w:rPr>
        <w:t xml:space="preserve">Figure 10:</w:t>
      </w:r>
    </w:p>
    <w:p>
      <w:pPr>
        <w:pStyle w:val="BodyText"/>
      </w:pPr>
      <w:r>
        <w:rPr>
          <w:b/>
        </w:rPr>
        <w:t xml:space="preserve">Table 3:</w:t>
      </w:r>
    </w:p>
    <w:p>
      <w:pPr>
        <w:pStyle w:val="Figure"/>
      </w:pPr>
      <w:r>
        <w:drawing>
          <wp:inline>
            <wp:extent cx="5334000" cy="3656370"/>
            <wp:effectExtent b="0" l="0" r="0" t="0"/>
            <wp:docPr descr="" title="" id="1" name="Picture"/>
            <a:graphic>
              <a:graphicData uri="http://schemas.openxmlformats.org/drawingml/2006/picture">
                <pic:pic>
                  <pic:nvPicPr>
                    <pic:cNvPr descr="data/images/ML_phylogeny_tree_2.png" id="0" name="Picture"/>
                    <pic:cNvPicPr>
                      <a:picLocks noChangeArrowheads="1" noChangeAspect="1"/>
                    </pic:cNvPicPr>
                  </pic:nvPicPr>
                  <pic:blipFill>
                    <a:blip r:embed="rId49"/>
                    <a:stretch>
                      <a:fillRect/>
                    </a:stretch>
                  </pic:blipFill>
                  <pic:spPr bwMode="auto">
                    <a:xfrm>
                      <a:off x="0" y="0"/>
                      <a:ext cx="5334000" cy="3656370"/>
                    </a:xfrm>
                    <a:prstGeom prst="rect">
                      <a:avLst/>
                    </a:prstGeom>
                    <a:noFill/>
                    <a:ln w="9525">
                      <a:noFill/>
                      <a:headEnd/>
                      <a:tailEnd/>
                    </a:ln>
                  </pic:spPr>
                </pic:pic>
              </a:graphicData>
            </a:graphic>
          </wp:inline>
        </w:drawing>
      </w:r>
    </w:p>
    <w:p>
      <w:pPr>
        <w:pStyle w:val="FirstParagraph"/>
      </w:pPr>
      <w:r>
        <w:rPr>
          <w:b/>
        </w:rPr>
        <w:t xml:space="preserve">Figure 11:</w:t>
      </w:r>
      <w:r>
        <w:t xml:space="preserve"> </w:t>
      </w:r>
      <w:r>
        <w:t xml:space="preserve">Molecular Phylogenetic analysis by Maximum Likelihood method</w:t>
      </w:r>
    </w:p>
    <w:tbl>
      <w:tblPr>
        <w:tblStyle w:val="TableNormal"/>
        <w:tblW w:type="pct" w:w="5000.0"/>
        <w:tblLook w:firstRow="1"/>
      </w:tblPr>
      <w:tblGrid>
        <w:gridCol w:w="1362"/>
        <w:gridCol w:w="1958"/>
        <w:gridCol w:w="1192"/>
        <w:gridCol w:w="1362"/>
        <w:gridCol w:w="1192"/>
        <w:gridCol w:w="851"/>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Morphotype Identity</w:t>
            </w:r>
          </w:p>
        </w:tc>
        <w:tc>
          <w:tcPr>
            <w:tcBorders>
              <w:bottom w:val="single"/>
            </w:tcBorders>
            <w:vAlign w:val="bottom"/>
          </w:tcPr>
          <w:p>
            <w:pPr>
              <w:pStyle w:val="Compact"/>
              <w:jc w:val="left"/>
            </w:pPr>
            <w:r>
              <w:t xml:space="preserve">GenBank ID</w:t>
            </w:r>
          </w:p>
        </w:tc>
        <w:tc>
          <w:tcPr>
            <w:tcBorders>
              <w:bottom w:val="single"/>
            </w:tcBorders>
            <w:vAlign w:val="bottom"/>
          </w:tcPr>
          <w:p>
            <w:pPr>
              <w:pStyle w:val="Compact"/>
              <w:jc w:val="left"/>
            </w:pPr>
            <w:r>
              <w:t xml:space="preserve">Percent Match</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r>
      <w:tr>
        <w:tc>
          <w:p>
            <w:pPr>
              <w:pStyle w:val="Compact"/>
              <w:jc w:val="left"/>
            </w:pPr>
            <w:r>
              <w:t xml:space="preserve">1</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2</w:t>
            </w:r>
          </w:p>
        </w:tc>
        <w:tc>
          <w:p>
            <w:pPr>
              <w:pStyle w:val="Compact"/>
              <w:jc w:val="left"/>
            </w:pPr>
            <w:r>
              <w:t xml:space="preserve">Bacillus spp.</w:t>
            </w:r>
          </w:p>
        </w:tc>
        <w:tc>
          <w:p>
            <w:pPr>
              <w:pStyle w:val="Compact"/>
              <w:jc w:val="left"/>
            </w:pPr>
            <w:r>
              <w:t xml:space="preserve">MH260980. 1</w:t>
            </w:r>
          </w:p>
        </w:tc>
        <w:tc>
          <w:p>
            <w:pPr>
              <w:pStyle w:val="Compact"/>
              <w:jc w:val="left"/>
            </w:pPr>
            <w:r>
              <w:t xml:space="preserve">95%</w:t>
            </w:r>
          </w:p>
        </w:tc>
        <w:tc>
          <w:p>
            <w:pPr>
              <w:pStyle w:val="Compact"/>
              <w:jc w:val="left"/>
            </w:pPr>
            <w:r>
              <w:t xml:space="preserve">80.17%</w:t>
            </w:r>
          </w:p>
        </w:tc>
        <w:tc>
          <w:p>
            <w:pPr>
              <w:pStyle w:val="Compact"/>
              <w:jc w:val="left"/>
            </w:pPr>
            <w:r>
              <w:t xml:space="preserve">8e-94</w:t>
            </w:r>
          </w:p>
        </w:tc>
      </w:tr>
      <w:tr>
        <w:tc>
          <w:p>
            <w:pPr>
              <w:pStyle w:val="Compact"/>
              <w:jc w:val="left"/>
            </w:pPr>
            <w:r>
              <w:t xml:space="preserve">3</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4</w:t>
            </w:r>
          </w:p>
        </w:tc>
        <w:tc>
          <w:p>
            <w:pPr>
              <w:pStyle w:val="Compact"/>
              <w:jc w:val="left"/>
            </w:pPr>
            <w:r>
              <w:t xml:space="preserve">Pseudomonas spp.</w:t>
            </w:r>
          </w:p>
        </w:tc>
        <w:tc>
          <w:p>
            <w:pPr>
              <w:pStyle w:val="Compact"/>
              <w:jc w:val="left"/>
            </w:pPr>
            <w:r>
              <w:t xml:space="preserve">JF313049.1</w:t>
            </w:r>
          </w:p>
        </w:tc>
        <w:tc>
          <w:p>
            <w:pPr>
              <w:pStyle w:val="Compact"/>
              <w:jc w:val="left"/>
            </w:pPr>
            <w:r>
              <w:t xml:space="preserve">100%</w:t>
            </w:r>
          </w:p>
        </w:tc>
        <w:tc>
          <w:p>
            <w:pPr>
              <w:pStyle w:val="Compact"/>
              <w:jc w:val="left"/>
            </w:pPr>
            <w:r>
              <w:t xml:space="preserve">94.82%</w:t>
            </w:r>
          </w:p>
        </w:tc>
        <w:tc>
          <w:p>
            <w:pPr>
              <w:pStyle w:val="Compact"/>
              <w:jc w:val="left"/>
            </w:pPr>
            <w:r>
              <w:t xml:space="preserve">8e-147</w:t>
            </w:r>
          </w:p>
        </w:tc>
      </w:tr>
      <w:tr>
        <w:tc>
          <w:p>
            <w:pPr>
              <w:pStyle w:val="Compact"/>
              <w:jc w:val="left"/>
            </w:pPr>
            <w:r>
              <w:t xml:space="preserve">5</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6</w:t>
            </w:r>
          </w:p>
        </w:tc>
        <w:tc>
          <w:p>
            <w:pPr>
              <w:pStyle w:val="Compact"/>
              <w:jc w:val="left"/>
            </w:pPr>
            <w:r>
              <w:t xml:space="preserve">Pseudomonas syrinae</w:t>
            </w:r>
          </w:p>
        </w:tc>
        <w:tc>
          <w:p>
            <w:pPr>
              <w:pStyle w:val="Compact"/>
              <w:jc w:val="left"/>
            </w:pPr>
            <w:r>
              <w:t xml:space="preserve">MK072676</w:t>
            </w:r>
          </w:p>
        </w:tc>
        <w:tc>
          <w:p>
            <w:pPr>
              <w:pStyle w:val="Compact"/>
              <w:jc w:val="left"/>
            </w:pPr>
            <w:r>
              <w:t xml:space="preserve">92%</w:t>
            </w:r>
          </w:p>
        </w:tc>
        <w:tc>
          <w:p>
            <w:pPr>
              <w:pStyle w:val="Compact"/>
              <w:jc w:val="left"/>
            </w:pPr>
            <w:r>
              <w:t xml:space="preserve">90.72%</w:t>
            </w:r>
          </w:p>
        </w:tc>
        <w:tc>
          <w:p>
            <w:pPr>
              <w:pStyle w:val="Compact"/>
              <w:jc w:val="left"/>
            </w:pPr>
            <w:r>
              <w:t xml:space="preserve">7e-164</w:t>
            </w:r>
          </w:p>
        </w:tc>
      </w:tr>
      <w:tr>
        <w:tc>
          <w:p>
            <w:pPr>
              <w:pStyle w:val="Compact"/>
              <w:jc w:val="left"/>
            </w:pPr>
            <w:r>
              <w:t xml:space="preserve">7</w:t>
            </w:r>
          </w:p>
        </w:tc>
        <w:tc>
          <w:p>
            <w:pPr>
              <w:pStyle w:val="Compact"/>
              <w:jc w:val="left"/>
            </w:pPr>
            <w:r>
              <w:t xml:space="preserve">Bacillus spp.</w:t>
            </w:r>
          </w:p>
        </w:tc>
        <w:tc>
          <w:p>
            <w:pPr>
              <w:pStyle w:val="Compact"/>
              <w:jc w:val="left"/>
            </w:pPr>
            <w:r>
              <w:t xml:space="preserve">FJ555568.1</w:t>
            </w:r>
          </w:p>
        </w:tc>
        <w:tc>
          <w:p>
            <w:pPr>
              <w:pStyle w:val="Compact"/>
              <w:jc w:val="left"/>
            </w:pPr>
            <w:r>
              <w:t xml:space="preserve">82%</w:t>
            </w:r>
          </w:p>
        </w:tc>
        <w:tc>
          <w:p>
            <w:pPr>
              <w:pStyle w:val="Compact"/>
              <w:jc w:val="left"/>
            </w:pPr>
            <w:r>
              <w:t xml:space="preserve">89.86%</w:t>
            </w:r>
          </w:p>
        </w:tc>
        <w:tc>
          <w:p>
            <w:pPr>
              <w:pStyle w:val="Compact"/>
              <w:jc w:val="left"/>
            </w:pPr>
            <w:r>
              <w:t xml:space="preserve">9e-138</w:t>
            </w:r>
          </w:p>
        </w:tc>
      </w:tr>
      <w:tr>
        <w:tc>
          <w:p>
            <w:pPr>
              <w:pStyle w:val="Compact"/>
              <w:jc w:val="left"/>
            </w:pPr>
            <w:r>
              <w:t xml:space="preserve">Negative</w:t>
            </w:r>
          </w:p>
        </w:tc>
        <w:tc>
          <w:p>
            <w:pPr>
              <w:pStyle w:val="Compact"/>
              <w:jc w:val="left"/>
            </w:pPr>
            <w:r>
              <w:t xml:space="preserve">Uncultured bacterium</w:t>
            </w:r>
          </w:p>
        </w:tc>
        <w:tc>
          <w:p>
            <w:pPr>
              <w:pStyle w:val="Compact"/>
              <w:jc w:val="left"/>
            </w:pPr>
            <w:r>
              <w:t xml:space="preserve">GU510538.1</w:t>
            </w:r>
          </w:p>
        </w:tc>
        <w:tc>
          <w:p>
            <w:pPr>
              <w:pStyle w:val="Compact"/>
              <w:jc w:val="left"/>
            </w:pPr>
            <w:r>
              <w:t xml:space="preserve">82%</w:t>
            </w:r>
          </w:p>
        </w:tc>
        <w:tc>
          <w:p>
            <w:pPr>
              <w:pStyle w:val="Compact"/>
              <w:jc w:val="left"/>
            </w:pPr>
            <w:r>
              <w:t xml:space="preserve">100.00%</w:t>
            </w:r>
          </w:p>
        </w:tc>
        <w:tc>
          <w:p>
            <w:pPr>
              <w:pStyle w:val="Compact"/>
              <w:jc w:val="left"/>
            </w:pPr>
            <w:r>
              <w:t xml:space="preserve">5e-09</w:t>
            </w:r>
          </w:p>
        </w:tc>
      </w:tr>
    </w:tbl>
    <w:p>
      <w:pPr>
        <w:pStyle w:val="BodyText"/>
      </w:pPr>
      <w:r>
        <w:rPr>
          <w:b/>
        </w:rPr>
        <w:t xml:space="preserve">Table 4:</w:t>
      </w:r>
      <w:r>
        <w:t xml:space="preserve"> </w:t>
      </w:r>
      <w:r>
        <w:t xml:space="preserve">Morphotype identities from BLAST sequence results with accompaning GenBank ID, percent match, query cover, and e value.</w:t>
      </w:r>
    </w:p>
    <w:p>
      <w:pPr>
        <w:pStyle w:val="Heading1"/>
      </w:pPr>
      <w:bookmarkStart w:id="50" w:name="discussion"/>
      <w:bookmarkEnd w:id="50"/>
      <w:r>
        <w:t xml:space="preserve">Discussion</w:t>
      </w:r>
    </w:p>
    <w:p>
      <w:pPr>
        <w:pStyle w:val="Heading2"/>
      </w:pPr>
      <w:bookmarkStart w:id="51" w:name="culturing"/>
      <w:bookmarkEnd w:id="51"/>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(10)</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(11)</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52" w:name="microscopy"/>
      <w:bookmarkEnd w:id="52"/>
      <w:r>
        <w:t xml:space="preserve">Microscopy</w:t>
      </w:r>
    </w:p>
    <w:p>
      <w:pPr>
        <w:pStyle w:val="Heading2"/>
      </w:pPr>
      <w:bookmarkStart w:id="53" w:name="molecular"/>
      <w:bookmarkEnd w:id="53"/>
      <w:r>
        <w:t xml:space="preserve">Molecular</w:t>
      </w:r>
    </w:p>
    <w:p>
      <w:pPr>
        <w:pStyle w:val="Heading1"/>
      </w:pPr>
      <w:bookmarkStart w:id="54" w:name="sources-cited"/>
      <w:bookmarkEnd w:id="54"/>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Nei M, Kumar S. 2000. Molecular evolution and phylogenetics. Oxford university press.</w:t>
      </w:r>
    </w:p>
    <w:p>
      <w:pPr>
        <w:pStyle w:val="Bibliography"/>
      </w:pPr>
      <w:r>
        <w:t xml:space="preserve">9. Kumar S, Stecher G, Tamura K. 2016. MEGA7: Molecular evolutionary genetics analysis version 7.0 for bigger datasets. Molecular biology and evolution 33:1870–1874.</w:t>
      </w:r>
    </w:p>
    <w:p>
      <w:pPr>
        <w:pStyle w:val="Bibliography"/>
      </w:pPr>
      <w:r>
        <w:t xml:space="preserve">10.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11.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fb0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47" Target="media/rId4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2019-04-11T13:01:10Z</dcterms:created>
  <dcterms:modified xsi:type="dcterms:W3CDTF">2019-04-11T13:01:10Z</dcterms:modified>
</cp:coreProperties>
</file>