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Comparison</w:t>
      </w:r>
      <w:r>
        <w:t xml:space="preserve"> </w:t>
      </w:r>
      <w:r>
        <w:t xml:space="preserve">of</w:t>
      </w:r>
      <w:r>
        <w:t xml:space="preserve"> </w:t>
      </w:r>
      <w:r>
        <w:t xml:space="preserve">Bacteria</w:t>
      </w:r>
      <w:r>
        <w:t xml:space="preserve"> </w:t>
      </w:r>
      <w:r>
        <w:t xml:space="preserve">on</w:t>
      </w:r>
      <w:r>
        <w:t xml:space="preserve"> </w:t>
      </w:r>
      <w:r>
        <w:t xml:space="preserve">Individual</w:t>
      </w:r>
      <w:r>
        <w:t xml:space="preserve"> </w:t>
      </w:r>
      <w:r>
        <w:t xml:space="preserve">versus</w:t>
      </w:r>
      <w:r>
        <w:t xml:space="preserve"> </w:t>
      </w:r>
      <w:r>
        <w:t xml:space="preserve">Communal</w:t>
      </w:r>
      <w:r>
        <w:t xml:space="preserve"> </w:t>
      </w:r>
      <w:r>
        <w:t xml:space="preserve">PC</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My primary question was whether or not the keyboards of individual University of San Francisco’s (USF’s) college students’ laptops from the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In the interest of people trying to find ways to prevent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three bacterial samples from three different individual laptops on the</w:t>
      </w:r>
      <w:r>
        <w:t xml:space="preserve"> </w:t>
      </w:r>
      <w:r>
        <w:t xml:space="preserve">“</w:t>
      </w:r>
      <w:r>
        <w:t xml:space="preserve">F</w:t>
      </w:r>
      <w:r>
        <w:t xml:space="preserve">”</w:t>
      </w:r>
      <w:r>
        <w:t xml:space="preserve"> </w:t>
      </w:r>
      <w:r>
        <w:t xml:space="preserve">key from students from USF (University of San Francisco) and three other samples from three public spaces on campus, also on the</w:t>
      </w:r>
      <w:r>
        <w:t xml:space="preserve"> </w:t>
      </w:r>
      <w:r>
        <w:t xml:space="preserve">“</w:t>
      </w:r>
      <w:r>
        <w:t xml:space="preserve">F</w:t>
      </w:r>
      <w:r>
        <w:t xml:space="preserve">”</w:t>
      </w:r>
      <w:r>
        <w:t xml:space="preserve"> </w:t>
      </w:r>
      <w:r>
        <w:t xml:space="preserve">key. These bacteria were diluted then grown in cultures with their dilutions, where DNA was extracted from them. Touchdown PCR was done along with Sanger sequencing, whose results I analyzed with Geneious Prime and R Studio. My primary findings for the culture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the Bioinformatics class have more or less microbacterial species compared to shared computers on campus from the library, the UC and Toler Hall.</w:t>
      </w:r>
    </w:p>
    <w:p>
      <w:pPr>
        <w:pStyle w:val="BodyText"/>
      </w:pPr>
      <w:r>
        <w:t xml:space="preserve">I collected bacteria, diluted the samples, plated the samples on TSA plates, extracted DNA from the samples, did touchdown PCR, gel electrophoresis, and Sanger sequencing. These results were analyzed with Geneious Prime and R Studio.</w:t>
      </w:r>
    </w:p>
    <w:p>
      <w:pPr>
        <w:pStyle w:val="Heading2"/>
      </w:pPr>
      <w:bookmarkStart w:id="23" w:name="bacterial-collection"/>
      <w:r>
        <w:t xml:space="preserve">Bacterial Collection</w:t>
      </w:r>
      <w:bookmarkEnd w:id="23"/>
    </w:p>
    <w:p>
      <w:pPr>
        <w:pStyle w:val="FirstParagraph"/>
      </w:pPr>
      <w:r>
        <w:t xml:space="preserve">The surface samples were collected during the lab section of the Bioinformatics class on September 3rd, 2019. In total, six tubes were collected. For each location, the</w:t>
      </w:r>
      <w:r>
        <w:t xml:space="preserve"> </w:t>
      </w:r>
      <w:r>
        <w:t xml:space="preserve">“</w:t>
      </w:r>
      <w:r>
        <w:t xml:space="preserve">F</w:t>
      </w:r>
      <w:r>
        <w:t xml:space="preserve">”</w:t>
      </w:r>
      <w:r>
        <w:t xml:space="preserve"> </w:t>
      </w:r>
      <w:r>
        <w:t xml:space="preserve">key on the keyboard was swabbed. Each sterile swab was dipped in sterile PBS (Phosphate Buffer Saline at pH 7.4) to moisten, then wrung of excess PBS against the side of the tube. I swabbed each surface for 15 seconds. The tip of the swab was broken off into a labelled eppendorf with initials, date,and an unique sample ID. All swab samples were gathered on the</w:t>
      </w:r>
      <w:r>
        <w:t xml:space="preserve"> </w:t>
      </w:r>
      <w:r>
        <w:t xml:space="preserve">“</w:t>
      </w:r>
      <w:r>
        <w:t xml:space="preserve">F</w:t>
      </w:r>
      <w:r>
        <w:t xml:space="preserve">”</w:t>
      </w:r>
      <w:r>
        <w:t xml:space="preserve"> </w:t>
      </w:r>
      <w:r>
        <w:t xml:space="preserve">key, then put into labelled eppendorfs.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from three different students (Student A, Student B, and Student C) in the same way for the</w:t>
      </w:r>
      <w:r>
        <w:t xml:space="preserve"> </w:t>
      </w:r>
      <w:r>
        <w:t xml:space="preserve">“</w:t>
      </w:r>
      <w:r>
        <w:t xml:space="preserve">F</w:t>
      </w:r>
      <w:r>
        <w:t xml:space="preserve">”</w:t>
      </w:r>
      <w:r>
        <w:t xml:space="preserve"> </w:t>
      </w:r>
      <w:r>
        <w:t xml:space="preserve">key.</w:t>
      </w:r>
    </w:p>
    <w:p>
      <w:pPr>
        <w:pStyle w:val="Heading2"/>
      </w:pPr>
      <w:bookmarkStart w:id="24" w:name="dilution-series"/>
      <w:r>
        <w:t xml:space="preserve">Dilution Series</w:t>
      </w:r>
      <w:bookmarkEnd w:id="24"/>
    </w:p>
    <w:p>
      <w:pPr>
        <w:pStyle w:val="FirstParagraph"/>
      </w:pPr>
      <w:r>
        <w:t xml:space="preserve">The dilution series was done with the</w:t>
      </w:r>
      <w:r>
        <w:t xml:space="preserve"> </w:t>
      </w:r>
      <w:r>
        <w:t xml:space="preserve">“</w:t>
      </w:r>
      <w:r>
        <w:t xml:space="preserve">F</w:t>
      </w:r>
      <w:r>
        <w:t xml:space="preserve">”</w:t>
      </w:r>
      <w:r>
        <w:t xml:space="preserve"> </w:t>
      </w:r>
      <w:r>
        <w:t xml:space="preserve">key group. In order to prepare the undiluted group, I put 200 µL of PBS into the six eppendorfs with swabs. These six eppendorfs were then vortexed for fifteen seconds. There were another six eppendorfs that were dedicated to 1:10 dilutions of the original six eppendorfs. For these six 1:10 dilution eppendorfs, I added 180 µL of PBS to each of them. Twenty µL of one undiluted eppendorf was then added to its respective 1:10 dilution eppendorf to complete the dilution. This was then repeated another five times to complete the other 1:10 dilutions. I vortexed these six eppendorfs for five seconds. In order to do the 1:100 dilutions, I once again added 180 µL of PBS into each of the six eppendorfs labelled respectively as 1:100 dilutions. Twenty µL of a 1:10 dilution was then added to its respectively labelled 1:100 dilution eppendorf. I repeated this step for the other five 1:100 dilution eppendorfs. The six 1:100 dilution eppendorfs were then vortexed for 5 seconds.</w:t>
      </w:r>
    </w:p>
    <w:p>
      <w:pPr>
        <w:pStyle w:val="Heading2"/>
      </w:pPr>
      <w:bookmarkStart w:id="25" w:name="plating-f-key-group"/>
      <w:r>
        <w:t xml:space="preserve">Plating</w:t>
      </w:r>
      <w:r>
        <w:t xml:space="preserve"> </w:t>
      </w:r>
      <w:r>
        <w:t xml:space="preserve">“</w:t>
      </w:r>
      <w:r>
        <w:t xml:space="preserve">F</w:t>
      </w:r>
      <w:r>
        <w:t xml:space="preserve">”</w:t>
      </w:r>
      <w:r>
        <w:t xml:space="preserve"> </w:t>
      </w:r>
      <w:r>
        <w:t xml:space="preserve">Key Group</w:t>
      </w:r>
      <w:bookmarkEnd w:id="25"/>
    </w:p>
    <w:p>
      <w:pPr>
        <w:pStyle w:val="FirstParagraph"/>
      </w:pPr>
      <w:r>
        <w:t xml:space="preserve">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6" w:name="dna-extraction"/>
      <w:r>
        <w:t xml:space="preserve">DNA Extraction</w:t>
      </w:r>
      <w:bookmarkEnd w:id="26"/>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I added 100 µL of extraction solution then vortexed the tube for 60 seconds. This was repeated for the other five 1.5 mL tubes. All six tubes were incubated at 95</w:t>
      </w:r>
      <w:r>
        <w:rPr>
          <w:vertAlign w:val="superscript"/>
        </w:rPr>
        <w:t xml:space="preserve">o</w:t>
      </w:r>
      <w:r>
        <w:t xml:space="preserve"> </w:t>
      </w:r>
      <w:r>
        <w:t xml:space="preserve">Celsius for ten minutes then vortexed for 60 seconds. I added 100 µL of dilution solution to each of the six tubes and vortexed them for five seconds. These six tubes were then centrifuged for five minutes at 14,000 rpm. For the Qubit protocol, I added 198 µL of the Qubit solution to the qubit tube. Two µL of the DNA extraction was added to the 198 µL of Qubit solution. This step was repeated for the other five DNA extractions. I vortexed all six Qubit tubes for five seconds then incubated them for five minutes in the dark. The Qubit machine was used to measure the concentration of DNA.</w:t>
      </w:r>
    </w:p>
    <w:p>
      <w:pPr>
        <w:pStyle w:val="Heading2"/>
      </w:pPr>
      <w:bookmarkStart w:id="27" w:name="touchdown-pcr-for-cultured-f-key-series"/>
      <w:r>
        <w:t xml:space="preserve">Touchdown PCR for Cultured</w:t>
      </w:r>
      <w:r>
        <w:t xml:space="preserve"> </w:t>
      </w:r>
      <w:r>
        <w:t xml:space="preserve">“</w:t>
      </w:r>
      <w:r>
        <w:t xml:space="preserve">F</w:t>
      </w:r>
      <w:r>
        <w:t xml:space="preserve">”</w:t>
      </w:r>
      <w:r>
        <w:t xml:space="preserve"> </w:t>
      </w:r>
      <w:r>
        <w:t xml:space="preserve">key series</w:t>
      </w:r>
      <w:bookmarkEnd w:id="27"/>
    </w:p>
    <w:p>
      <w:pPr>
        <w:pStyle w:val="FirstParagraph"/>
      </w:pPr>
      <w:r>
        <w:t xml:space="preserve">I labelled a tube for the master mix. Inside, I put 77 µL of Amp, 6.2 µL of 27f primer, 6.2 µL of 1492r primer, 7.7 µL BSA, and 49.5 µL of water. These volumes of the reagents were calculated according to (n+1) + 10%(n+1) where n is the number of samples to amplify with PCR. The master mix was vortexed for three seconds and centrifuged at low speed. I aliquoted 19 µL of the master mix to each 250 µL sample tube, six in total, and one other 250 µL tube for the negative control. One µL of the sample was added to each of the six sample tubes. One µL of water was added for the negative control. The seven 250 µL PCR strip tubes were put in specific PCR cycles and conditions. 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Lastly, the PCR sample tubes went through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gel, SYBR safe dye, 1x TAE buffer and put through 140 V for 30 minutes. An Ez load 1 kb Molecular Ruler (already has glycerol, dye, and DNA set fragments), or a ladder, was added to the first and last wells of both lines of wells in the gel. One µL of each of my seven PCR tubes was pipetted into seven wells of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analysis"/>
      <w:r>
        <w:t xml:space="preserve">Analysis</w:t>
      </w:r>
      <w:bookmarkEnd w:id="28"/>
    </w:p>
    <w:p>
      <w:pPr>
        <w:pStyle w:val="Heading3"/>
      </w:pPr>
      <w:bookmarkStart w:id="29" w:name="geneious-prime"/>
      <w:r>
        <w:t xml:space="preserve">Geneious Prime</w:t>
      </w:r>
      <w:bookmarkEnd w:id="29"/>
    </w:p>
    <w:p>
      <w:pPr>
        <w:pStyle w:val="FirstParagraph"/>
      </w:pPr>
      <w:r>
        <w:t xml:space="preserve">My first task in Geneious Prime was to assess whether or not the sequences were usable. Then, I had to trim or correct usable sequences. This was done by trimming off a large part of the beginning and ending of the sequences (since they were filled with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 A Maximum Likelihood Phylogeny and a Bayesian Phylogeny were created using</w:t>
      </w:r>
      <w:r>
        <w:t xml:space="preserve"> </w:t>
      </w:r>
      <w:r>
        <w:rPr>
          <w:i/>
        </w:rPr>
        <w:t xml:space="preserve">Thermus aquaticus</w:t>
      </w:r>
      <w:r>
        <w:t xml:space="preserve"> </w:t>
      </w:r>
      <w:r>
        <w:t xml:space="preserve">as an outgroup by downloading the sequence from GenBank.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0" w:name="r-studio"/>
      <w:r>
        <w:t xml:space="preserve">R Studio</w:t>
      </w:r>
      <w:bookmarkEnd w:id="30"/>
    </w:p>
    <w:p>
      <w:pPr>
        <w:pStyle w:val="FirstParagraph"/>
      </w:pPr>
      <w:r>
        <w:t xml:space="preserve">I used the packages dplyr and ggplot in order to visualize the data with boxplots. I also tested between different sampling groups using Wilcox statistical tests in order to get the p values.</w:t>
      </w:r>
    </w:p>
    <w:p>
      <w:pPr>
        <w:pStyle w:val="Heading1"/>
      </w:pPr>
      <w:bookmarkStart w:id="31" w:name="results"/>
      <w:r>
        <w:t xml:space="preserve">Results</w:t>
      </w:r>
      <w:bookmarkEnd w:id="31"/>
    </w:p>
    <w:p>
      <w:pPr>
        <w:pStyle w:val="Heading2"/>
      </w:pPr>
      <w:bookmarkStart w:id="32" w:name="culture-data"/>
      <w:r>
        <w:t xml:space="preserve">Culture Data</w:t>
      </w:r>
      <w:bookmarkEnd w:id="32"/>
    </w:p>
    <w:p>
      <w:pPr>
        <w:pStyle w:val="Heading3"/>
      </w:pPr>
      <w:bookmarkStart w:id="33" w:name="colony-abundance"/>
      <w:r>
        <w:t xml:space="preserve">Colony Abundance</w:t>
      </w:r>
      <w:bookmarkEnd w:id="33"/>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boxplot of colony abundance).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p>
      <w:pPr>
        <w:pStyle w:val="Heading3"/>
      </w:pPr>
      <w:bookmarkStart w:id="35" w:name="Xad4fddd7392c953094d6d38ca73d8125cc77204"/>
      <w:r>
        <w:t xml:space="preserve">Statistical (Wilcox) test for above Colony Abundance</w:t>
      </w:r>
      <w:bookmarkEnd w:id="35"/>
    </w:p>
    <w:p>
      <w:pPr>
        <w:pStyle w:val="FirstParagraph"/>
      </w:pPr>
      <w:r>
        <w:t xml:space="preserve">A statistical (Wilcox) test was run to compare the number of colony abundances of Communal versus Individual computers at 1x dilution. The mean number of colonies between Communal and Individual computers were significantly different, with a p-value of 0.02 (Table 1; Statistical test for Colony Abundance).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6" w:name="X687aa87211f8b63c84927a26d0c107be947a1a5"/>
      <w:r>
        <w:t xml:space="preserve">Boxplot showing the number of morphotypes in each of your two treatments (1x Dilution)</w:t>
      </w:r>
      <w:bookmarkEnd w:id="36"/>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computers, 1x dilution. The mean number of morphotypes were not significantly different between the communal and individual computers (Wilcox p = 0.09679).</w:t>
      </w:r>
    </w:p>
    <w:p>
      <w:pPr>
        <w:pStyle w:val="Heading3"/>
      </w:pPr>
      <w:bookmarkStart w:id="38" w:name="Xd68cd6009b9d4f6018bddab58b78c1a392fd527"/>
      <w:r>
        <w:t xml:space="preserve">Wilcox test for the number of morphotypes</w:t>
      </w:r>
      <w:bookmarkEnd w:id="38"/>
    </w:p>
    <w:p>
      <w:pPr>
        <w:pStyle w:val="FirstParagraph"/>
      </w:pPr>
      <w:r>
        <w:t xml:space="preserve">The mean number of morphotypes between Communal and Individual computer keyboards were not significant with a p-value of 0.10 (Table 2; Statistical test on the number of morphotypes). This was the result of a statistical test to compare the number of morphotypes in Communal versus Individual computer.</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Xab28c69a3e6b488bd56fa1161cd16db5dffad8d"/>
      <w:r>
        <w:t xml:space="preserve">Table of Qubit DNA extraction samples of Key</w:t>
      </w:r>
      <w:r>
        <w:t xml:space="preserve"> </w:t>
      </w:r>
      <w:r>
        <w:t xml:space="preserve">“</w:t>
      </w:r>
      <w:r>
        <w:t xml:space="preserve">F</w:t>
      </w:r>
      <w:r>
        <w:t xml:space="preserve">”</w:t>
      </w:r>
      <w:r>
        <w:t xml:space="preserve"> </w:t>
      </w:r>
      <w:r>
        <w:t xml:space="preserve">series (cultured)</w:t>
      </w:r>
      <w:bookmarkEnd w:id="42"/>
    </w:p>
    <w:p>
      <w:pPr>
        <w:pStyle w:val="FirstParagraph"/>
      </w:pPr>
      <w:r>
        <w:t xml:space="preserve">The Qubit numbers of the DNA extractions from the</w:t>
      </w:r>
      <w:r>
        <w:t xml:space="preserve"> </w:t>
      </w:r>
      <w:r>
        <w:t xml:space="preserve">“</w:t>
      </w:r>
      <w:r>
        <w:t xml:space="preserve">F</w:t>
      </w:r>
      <w:r>
        <w:t xml:space="preserve">”</w:t>
      </w:r>
      <w:r>
        <w:t xml:space="preserve"> </w:t>
      </w:r>
      <w:r>
        <w:t xml:space="preserve">key culture samples were larger than zero. The 1F sample had a Qubit number of 5.40 ng/µL, 2F had 6.10 ng/µL, 3F had 8.76 ng/µL, 5F had 7.51 ng/µL, 6Fo had 5.66 ng/µL, and 6Fp had 9.05 ng/µL (Table 3; Qubit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Gel electrophoresis).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 unusable ends were trimmed off and four bases out of the remaining 426 bases for the 1F trimmed sequence were changed (Table 4). For the 2F trimmed sequence, four bases out of 658 bases were changed (Table 4). Three bases out of 634 bases for the 3F trimmed sequence were edited with ambiguity codes (Table 4). For 5F trimmed sequence, seven bases out of 593 bases were changed to ambiguity codes (Table 4). For the 6Fp trimmed sequence, three bases out of 559 bases were changed (Table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For the trimmed sequence of 1F, Staphylococcus epidermidis was found to be the closest match using BLAST; the percent identification is 99.53%, the query cover is 100%, and the E-value is 0.0. The same goes for the following trimmed sequences: Staphylococcus hominis subsp. novobiosepticus was matched with 2F; the percent identification is 99.39%,the query cover is 100%, and the e-value is 0.0. Bacillus subtilis was matched with 3F; the percent identification is 99.53%, the query cover is 100%, and the e-value is 0.0. Bacillus subtilis was matched with 5F; the percent identification is 98.82%, the query cover is 100%, and the e-value is 0.0. Staphylococcus epidermidis was matched with 6Fp; the percent identification is 99.82%, the query cover is 100%, and the e-value is 0.0 (Table 5; Used BLAST to calculate the statistical significance between matched sequences).</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For the Maximum Likelihood Phylogeny,</w:t>
      </w:r>
      <w:r>
        <w:t xml:space="preserve"> </w:t>
      </w:r>
      <w:r>
        <w:rPr>
          <w:i/>
        </w:rPr>
        <w:t xml:space="preserve">Thermus aquaticus</w:t>
      </w:r>
      <w:r>
        <w:t xml:space="preserve"> </w:t>
      </w:r>
      <w:r>
        <w:t xml:space="preserve">was used as the outgroup. I found that sequences 6Fp and 2F are grouped together in a monophyletic clade with 85 bootstrap support value, while sequences 3F and 5F are grouped together in a monophyletic clade with 100 bootstrap support (Figure 5). This was also supported by the Bayesian Phylogeny (Figure 6; Bayesian posterior probability &gt; 95).</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1"/>
      </w:pPr>
      <w:bookmarkStart w:id="51" w:name="discussion"/>
      <w:r>
        <w:t xml:space="preserve">Discussion</w:t>
      </w:r>
      <w:bookmarkEnd w:id="51"/>
    </w:p>
    <w:p>
      <w:pPr>
        <w:pStyle w:val="FirstParagraph"/>
      </w:pPr>
      <w:r>
        <w:t xml:space="preserve">My primary question was whether or not the keyboards of individual USF college students’ laptops from the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w:t>
      </w:r>
    </w:p>
    <w:p>
      <w:pPr>
        <w:pStyle w:val="Heading2"/>
      </w:pPr>
      <w:bookmarkStart w:id="52" w:name="grown-cultures-1"/>
      <w:r>
        <w:t xml:space="preserve">Grown Cultures</w:t>
      </w:r>
      <w:bookmarkEnd w:id="52"/>
    </w:p>
    <w:p>
      <w:pPr>
        <w:pStyle w:val="FirstParagraph"/>
      </w:pPr>
      <w:r>
        <w:t xml:space="preserve">For each location, the</w:t>
      </w:r>
      <w:r>
        <w:t xml:space="preserve"> </w:t>
      </w:r>
      <w:r>
        <w:t xml:space="preserve">“</w:t>
      </w:r>
      <w:r>
        <w:t xml:space="preserve">F</w:t>
      </w:r>
      <w:r>
        <w:t xml:space="preserve">”</w:t>
      </w:r>
      <w:r>
        <w:t xml:space="preserve"> </w:t>
      </w:r>
      <w:r>
        <w:t xml:space="preserve">key on the keyboard was swabbed and bacteria was collected and diluted. Since the type of bacteria was unknown nor how it would grow, it was necessary to dilute the samples in order to maximize the number of environments that the bacteria could possibly grow in. The undiluted series were vortexed for 15 seconds in order to get the bacteria off the swabs and into the PBS. I found that the 1x dilution cultures worked the best because all of the Communal computer samples had at least one colony and a majority of the Individual computers samples had at least one colony. There was a higher number of colonies that was present on Communal computer keyboards. The median number of colonies from the Communal samples was around 2.5 colonies larger than the median number of around 0 for Individual samples (Figure 1; Boxplot of the comparison of colony abundances). In order to prove if this difference was statistically significant, a statistical (Wilcox) test was performed. My null hypothesis was that there was no difference between the sample groups. The p-value I attained was 0.02 (Table 1; Wilcox test for Colony Abundance boxplot). Since it was less than 0.05, I rejected the null hypothesis, meaning that there was significant difference between the number of colony abundances between sample groups. Both the Communal and Individual samples had a very small range of the number of morphotypes, with an outlier of two morphotypes (Figure 2; boxplot of the comparison of morphotypes between the two samples). My null hypothesis was that there was no difference between the sample groups. The p-value from the statistical (Wilcox) test was 0.10, which is larger than 0.05. I failed to reject the null, meaning that the number of morphotypes between the sample groups were not significantly different (Table 2; statistical test for the comparison of morphotypes between the sample groups).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BodyText"/>
      </w:pPr>
      <w:r>
        <w:t xml:space="preserve">The only TSA plate group of 1x, 10x, and 100x that did not have any culture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 showing chosen plates and colonies).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The last vortex for five seconds was to mix the extraction and dilution solutions. Qubit samples were incubated in the dark because the Qubit machine is sensitive to the light. It was important to measure the concentration of DNA in order to ensure that we had enough DNA to amplify in PCR, a later step. All of my samples showed that they had a sufficient amount of DNA from the Qubit numbers, which were all above 5 ng/µL (Table 3; Qubit DNA extraction numbers).</w:t>
      </w:r>
    </w:p>
    <w:p>
      <w:pPr>
        <w:pStyle w:val="Heading2"/>
      </w:pPr>
      <w:bookmarkStart w:id="53" w:name="touchdown-pcr-for-f-key-series"/>
      <w:r>
        <w:t xml:space="preserve">Touchdown PCR for</w:t>
      </w:r>
      <w:r>
        <w:t xml:space="preserve"> </w:t>
      </w:r>
      <w:r>
        <w:t xml:space="preserve">“</w:t>
      </w:r>
      <w:r>
        <w:t xml:space="preserve">F</w:t>
      </w:r>
      <w:r>
        <w:t xml:space="preserve">”</w:t>
      </w:r>
      <w:r>
        <w:t xml:space="preserve"> </w:t>
      </w:r>
      <w:r>
        <w:t xml:space="preserve">key series</w:t>
      </w:r>
      <w:bookmarkEnd w:id="53"/>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54" w:name="gel-electrophoresis-1"/>
      <w:r>
        <w:t xml:space="preserve">Gel Electrophoresis</w:t>
      </w:r>
      <w:bookmarkEnd w:id="54"/>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Gel electrophoresis image). There were no bands for the negative control because there is no DNA in there.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55" w:name="geneious-prime-1"/>
      <w:r>
        <w:t xml:space="preserve">Geneious Prime</w:t>
      </w:r>
      <w:bookmarkEnd w:id="55"/>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Sequence Usability Table).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Sequence Usability Table). This was an acceptable amount of bases to be used for the alignments and phylogenies. All of my usable sequences were mostly high quality 16S sequences that required less than eight bases that needed to be manually corrected (Table 4; Sequence Usability Table).</w:t>
      </w:r>
    </w:p>
    <w:p>
      <w:pPr>
        <w:pStyle w:val="Heading2"/>
      </w:pPr>
      <w:bookmarkStart w:id="56" w:name="sequence-relationships"/>
      <w:r>
        <w:t xml:space="preserve">Sequence Relationships</w:t>
      </w:r>
      <w:bookmarkEnd w:id="56"/>
    </w:p>
    <w:p>
      <w:pPr>
        <w:pStyle w:val="FirstParagraph"/>
      </w:pPr>
      <w:r>
        <w:t xml:space="preserve">The high 100% Query Covers for 1F, 2F, 3F, 5F, and 6Fp sequences meant a large percentage of the target sequence covered the query sequence (Table 5; BLAST Table). The 5F trimmed sequence had a percent identity of over 98%, showing that the matched BLAST sequence was very similar to my trimmed sequences (Table 5; BLAST Table).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(Table 5; BLAST Table). Since the number of hits that the result received were by chance was 0.0, I am confident that the matched BLAST sequences were not due to chance 1F was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BLAST Table).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Maximum Likelihood Phylogeny and Table 5; BLAST table). The Bayesian Phylogeny agreed with the Maximum Likelihood Phylogeny and the BLAST table, resulting with the same groupings (Figure 6; Bayesian Phylogeny). I did not find support for my hypothesis as there was no difference between the number of bacterial species between Communal or Individual computer keyboards.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w:t>
      </w:r>
    </w:p>
    <w:p>
      <w:pPr>
        <w:pStyle w:val="Heading1"/>
      </w:pPr>
      <w:bookmarkStart w:id="57" w:name="sources-cited"/>
      <w:r>
        <w:t xml:space="preserve">Sources Cited</w:t>
      </w:r>
      <w:bookmarkEnd w:id="57"/>
    </w:p>
    <w:bookmarkStart w:id="69" w:name="refs"/>
    <w:bookmarkStart w:id="58"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58"/>
    <w:bookmarkStart w:id="59"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59"/>
    <w:bookmarkStart w:id="60"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60"/>
    <w:bookmarkStart w:id="61" w:name="ref-fraser2009bacterial"/>
    <w:p>
      <w:pPr>
        <w:pStyle w:val="Bibliography"/>
      </w:pPr>
      <w:r>
        <w:t xml:space="preserve">Fraser,M. and Girling,S. (2009) Bacterial carriage of computer keyboards in veterinary practices in scotland.</w:t>
      </w:r>
    </w:p>
    <w:bookmarkEnd w:id="61"/>
    <w:bookmarkStart w:id="62" w:name="ref-hamzeh2011computer"/>
    <w:p>
      <w:pPr>
        <w:pStyle w:val="Bibliography"/>
      </w:pPr>
      <w:r>
        <w:t xml:space="preserve">Hamzeh,F. and Na’was,T. (2011) Computer mice in public centers: A source of pathogenic bacteria.</w:t>
      </w:r>
    </w:p>
    <w:bookmarkEnd w:id="62"/>
    <w:bookmarkStart w:id="63"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63"/>
    <w:bookmarkStart w:id="64"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64"/>
    <w:bookmarkStart w:id="65"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5"/>
    <w:bookmarkStart w:id="66"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66"/>
    <w:bookmarkStart w:id="67"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67"/>
    <w:bookmarkStart w:id="68" w:name="ref-weberextract"/>
    <w:p>
      <w:pPr>
        <w:pStyle w:val="Bibliography"/>
      </w:pPr>
      <w:r>
        <w:t xml:space="preserve">Weber,S. and Douglas,D. Extract-n-amp™ tissue pcr kit: Rapid genomic dna extraction from tissue coupled with pcr.</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Comparison of Bacteria on Individual versus Communal PC Keyboards</dc:title>
  <dc:creator>Jacinda Chen</dc:creator>
  <cp:keywords/>
  <dcterms:created xsi:type="dcterms:W3CDTF">2019-11-12T22:31:54Z</dcterms:created>
  <dcterms:modified xsi:type="dcterms:W3CDTF">2019-11-12T22:31:54Z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