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5.png" ContentType="image/png"/>
  <Override PartName="/word/media/rId77.png" ContentType="image/png"/>
  <Override PartName="/word/media/rId76.png" ContentType="image/png"/>
  <Override PartName="/word/media/rId64.png" ContentType="image/png"/>
  <Override PartName="/word/media/rId65.png" ContentType="image/png"/>
  <Override PartName="/word/media/rId71.png" ContentType="image/png"/>
  <Override PartName="/word/media/rId70.png" ContentType="image/png"/>
  <Override PartName="/word/media/rId72.png" ContentType="image/png"/>
  <Override PartName="/word/media/rId74.png" ContentType="image/png"/>
  <Override PartName="/word/media/rId67.png" ContentType="image/png"/>
  <Override PartName="/word/media/rId66.jpg" ContentType="image/jpeg"/>
  <Override PartName="/word/media/rId69.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emphasize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aureus</w:t>
      </w:r>
      <w:r>
        <w:t xml:space="preserve"> </w:t>
      </w:r>
      <w:r>
        <w:t xml:space="preserve">onto patients</w:t>
      </w:r>
      <w:r>
        <w:t xml:space="preserve"> </w:t>
      </w:r>
      <w:r>
        <w:t xml:space="preserve">(Isaacs</w:t>
      </w:r>
      <w:r>
        <w:t xml:space="preserve"> </w:t>
      </w:r>
      <w:r>
        <w:rPr>
          <w:i/>
        </w:rPr>
        <w:t xml:space="preserve">et al.</w:t>
      </w:r>
      <w:r>
        <w:t xml:space="preserve">, 1998)</w:t>
      </w:r>
      <w:r>
        <w:t xml:space="preserve">. Although</w:t>
      </w:r>
      <w:r>
        <w:t xml:space="preserve"> </w:t>
      </w:r>
      <w:r>
        <w:rPr>
          <w:i/>
        </w:rPr>
        <w:t xml:space="preserve">Staphylococcus epidermidis</w:t>
      </w:r>
      <w:r>
        <w:t xml:space="preserve"> </w:t>
      </w:r>
      <w:r>
        <w:t xml:space="preserve">itself is frequently found in abundance on the human skin, it also can be transferred to</w:t>
      </w:r>
      <w:r>
        <w:t xml:space="preserve"> </w:t>
      </w:r>
      <w:r>
        <w:rPr>
          <w:i/>
        </w:rPr>
        <w:t xml:space="preserve">Staphylococcus aureus</w:t>
      </w:r>
      <w:r>
        <w:t xml:space="preserve">, which increases the pathogenic success as well as the antibiotic resistance of the latter pathogen</w:t>
      </w:r>
      <w:r>
        <w:t xml:space="preserve"> </w:t>
      </w:r>
      <w:r>
        <w:t xml:space="preserve">(Otto, 2009)</w:t>
      </w:r>
      <w:r>
        <w:t xml:space="preserve">. Other studies found that subsets of</w:t>
      </w:r>
      <w:r>
        <w:t xml:space="preserve"> </w:t>
      </w:r>
      <w:r>
        <w:rPr>
          <w:i/>
        </w:rPr>
        <w:t xml:space="preserve">Staphylococcus epidermidis</w:t>
      </w:r>
      <w:r>
        <w:t xml:space="preserve"> </w:t>
      </w:r>
      <w:r>
        <w:t xml:space="preserve">secretes the serine protease Esp, which was found to inhibit</w:t>
      </w:r>
      <w:r>
        <w:t xml:space="preserve"> </w:t>
      </w:r>
      <w:r>
        <w:rPr>
          <w:i/>
        </w:rPr>
        <w:t xml:space="preserve">Staphylococcus aureus</w:t>
      </w:r>
      <w:r>
        <w:t xml:space="preserve"> </w:t>
      </w:r>
      <w:r>
        <w:t xml:space="preserve">colonization</w:t>
      </w:r>
      <w:r>
        <w:t xml:space="preserve"> </w:t>
      </w:r>
      <w:r>
        <w:rPr>
          <w:i/>
        </w:rPr>
        <w:t xml:space="preserve">in vivo</w:t>
      </w:r>
      <w:r>
        <w:t xml:space="preserve"> </w:t>
      </w:r>
      <w:r>
        <w:t xml:space="preserve">through bacterial interference</w:t>
      </w:r>
      <w:r>
        <w:t xml:space="preserve"> </w:t>
      </w:r>
      <w:r>
        <w:t xml:space="preserve">(Iwase</w:t>
      </w:r>
      <w:r>
        <w:t xml:space="preserve"> </w:t>
      </w:r>
      <w:r>
        <w:rPr>
          <w:i/>
        </w:rPr>
        <w:t xml:space="preserve">et al.</w:t>
      </w:r>
      <w:r>
        <w:t xml:space="preserve">, 2010)</w:t>
      </w:r>
      <w:r>
        <w:t xml:space="preserve">. This could pose useful for future therapeutic developments to prevent the pathogen</w:t>
      </w:r>
      <w:r>
        <w:t xml:space="preserve"> </w:t>
      </w:r>
      <w:r>
        <w:rPr>
          <w:i/>
        </w:rPr>
        <w:t xml:space="preserve">Staphylococcus aureus</w:t>
      </w:r>
      <w:r>
        <w:t xml:space="preserve"> </w:t>
      </w:r>
      <w:r>
        <w:t xml:space="preserve">from infecting people. In addition,</w:t>
      </w:r>
      <w:r>
        <w:t xml:space="preserve"> </w:t>
      </w:r>
      <w:r>
        <w:rPr>
          <w:i/>
        </w:rPr>
        <w:t xml:space="preserve">Staphylococcus epidermidis</w:t>
      </w:r>
      <w:r>
        <w:t xml:space="preserve"> </w:t>
      </w:r>
      <w:r>
        <w:t xml:space="preserve">infections are common among patients with implanted medical devices. Preventative measures are now being taken in order to control</w:t>
      </w:r>
      <w:r>
        <w:t xml:space="preserve"> </w:t>
      </w:r>
      <w:r>
        <w:rPr>
          <w:i/>
        </w:rPr>
        <w:t xml:space="preserve">Staphylococcus epidermidis</w:t>
      </w:r>
      <w:r>
        <w:t xml:space="preserve"> </w:t>
      </w:r>
      <w:r>
        <w:t xml:space="preserve">through physical electrical barriers to impede bacterial colonization</w:t>
      </w:r>
      <w:r>
        <w:t xml:space="preserve"> </w:t>
      </w:r>
      <w:r>
        <w:t xml:space="preserve">(O’GARA and Humphreys, 2001)</w:t>
      </w:r>
      <w:r>
        <w:t xml:space="preserve">. This exemplifies the numerous approaches to impeding the spread of infection through stopping bacterial colonization.</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Bacteria exist everywhere; as such, they must be able to adapt to a variety of environments and exhibit complicated examples of cooperative behavior</w:t>
      </w:r>
      <w:r>
        <w:t xml:space="preserve"> </w:t>
      </w:r>
      <w:r>
        <w:t xml:space="preserve">(Ben-Jacob</w:t>
      </w:r>
      <w:r>
        <w:t xml:space="preserve"> </w:t>
      </w:r>
      <w:r>
        <w:rPr>
          <w:i/>
        </w:rPr>
        <w:t xml:space="preserve">et al.</w:t>
      </w:r>
      <w:r>
        <w:t xml:space="preserve">, 1994)</w:t>
      </w:r>
      <w:r>
        <w:t xml:space="preserve">.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I also used a dada2 analysis pipeline to check the quality of my samples, denoise the sequences, remove chimeras, and more.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BLAST results in the culture-free data, I found that there was no significant difference between the number of species between communal and individual sample groups. From the dada2 pipeline, it was discovered that there was no significant difference in Shannon’s and Simpson’s alpha diversity measures between my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sixteen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and correct usable sequences. This was done by trimming off a large part of the beginning and ending of the sequences (since they contained either low quality or unusable bases) and going through the low quality bases in the middle of the sequence to decide whether or not they should be deleted, changed, or an ambiguity code needed to be added from the IUPAC Ambiguity Codes. I used MAFFT</w:t>
      </w:r>
      <w:r>
        <w:t xml:space="preserve"> </w:t>
      </w:r>
      <w:r>
        <w:t xml:space="preserve">(Katoh</w:t>
      </w:r>
      <w:r>
        <w:t xml:space="preserve"> </w:t>
      </w:r>
      <w:r>
        <w:rPr>
          <w:i/>
        </w:rPr>
        <w:t xml:space="preserve">et al.</w:t>
      </w:r>
      <w:r>
        <w:t xml:space="preserve">, 2009)</w:t>
      </w:r>
      <w:r>
        <w:t xml:space="preserve"> </w:t>
      </w:r>
      <w:r>
        <w:t xml:space="preserve">to create an appropriate multiple sequence alignment with all five of my usable and corrected sequences with the default settings and an offset value of 0.123. A Maximum Likelihood Phylogeny</w:t>
      </w:r>
      <w:r>
        <w:t xml:space="preserve"> </w:t>
      </w:r>
      <w:r>
        <w:t xml:space="preserve">(Guindon</w:t>
      </w:r>
      <w:r>
        <w:t xml:space="preserve"> </w:t>
      </w:r>
      <w:r>
        <w:rPr>
          <w:i/>
        </w:rPr>
        <w:t xml:space="preserve">et al.</w:t>
      </w:r>
      <w:r>
        <w:t xml:space="preserve">, 2005)</w:t>
      </w:r>
      <w:r>
        <w:t xml:space="preserve"> </w:t>
      </w:r>
      <w:r>
        <w:t xml:space="preserve">and a Bayesian Phylogeny</w:t>
      </w:r>
      <w:r>
        <w:t xml:space="preserve"> </w:t>
      </w:r>
      <w:r>
        <w:t xml:space="preserve">(Huelsenbeck and Ronquist, 2001)</w:t>
      </w:r>
      <w:r>
        <w:t xml:space="preserve"> </w:t>
      </w:r>
      <w:r>
        <w:t xml:space="preserve">were created using</w:t>
      </w:r>
      <w:r>
        <w:t xml:space="preserve"> </w:t>
      </w:r>
      <w:r>
        <w:rPr>
          <w:i/>
        </w:rPr>
        <w:t xml:space="preserve">Thermus aquaticus</w:t>
      </w:r>
      <w:r>
        <w:t xml:space="preserve"> </w:t>
      </w:r>
      <w:r>
        <w:t xml:space="preserve">(NR 025900.1) as an outgroup by downloading the sequence from GenBank.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w:t>
      </w:r>
      <w:r>
        <w:t xml:space="preserve"> </w:t>
      </w:r>
      <w:r>
        <w:t xml:space="preserve">(Johnson</w:t>
      </w:r>
      <w:r>
        <w:t xml:space="preserve"> </w:t>
      </w:r>
      <w:r>
        <w:rPr>
          <w:i/>
        </w:rPr>
        <w:t xml:space="preserve">et al.</w:t>
      </w:r>
      <w:r>
        <w:t xml:space="preserve">, 2008)</w:t>
      </w:r>
      <w:r>
        <w:t xml:space="preserve"> </w:t>
      </w:r>
      <w:r>
        <w:t xml:space="preserve">by comparing my nucleotide sequences to the sequence databases, where it also calculated the statistical significance of the match.</w:t>
      </w:r>
    </w:p>
    <w:p>
      <w:pPr>
        <w:pStyle w:val="Heading3"/>
      </w:pPr>
      <w:bookmarkStart w:id="31" w:name="bash"/>
      <w:r>
        <w:t xml:space="preserve">Bash</w:t>
      </w:r>
      <w:bookmarkEnd w:id="31"/>
    </w:p>
    <w:p>
      <w:pPr>
        <w:pStyle w:val="FirstParagraph"/>
      </w:pPr>
      <w:r>
        <w:t xml:space="preserve">I ran fastqc reports on the unzipped Illumina sequence files in order to check the sequence quality for each sample. Then, trimmomatic</w:t>
      </w:r>
      <w:r>
        <w:t xml:space="preserve"> </w:t>
      </w:r>
      <w:r>
        <w:t xml:space="preserve">(Bolger</w:t>
      </w:r>
      <w:r>
        <w:t xml:space="preserve"> </w:t>
      </w:r>
      <w:r>
        <w:rPr>
          <w:i/>
        </w:rPr>
        <w:t xml:space="preserve">et al.</w:t>
      </w:r>
      <w:r>
        <w:t xml:space="preserve">, 2014)</w:t>
      </w:r>
      <w:r>
        <w:t xml:space="preserve"> </w:t>
      </w:r>
      <w:r>
        <w:t xml:space="preserve">was run in order to trim low quality sequences or throw out bad sequences. The first five and the last five nucleotides were chopped off of each sequence. Then, looking at a sliding window of eight, sequences were checked if they matched the quality of 25 or better. If so, they were kept; if not, they were discarded. Also, if they did not have a minimum length of 140, they were once again discarded. Bioawk was used to convert fastqc files into fasta files, the format required for BLAST. I ran BLAST</w:t>
      </w:r>
      <w:r>
        <w:t xml:space="preserve"> </w:t>
      </w:r>
      <w:r>
        <w:t xml:space="preserve">(Belshaw and Katzourakis, 2004)</w:t>
      </w:r>
      <w:r>
        <w:t xml:space="preserve"> </w:t>
      </w:r>
      <w:r>
        <w:t xml:space="preserve">against a local copy of the nt database to find the closest matched sequence for every sequence in my fasta files: 1A-6A. BLAST was also run against the same local copy of the nt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 Tidyr was used to create tidy data. Readr made reading csv files easier.</w:t>
      </w:r>
    </w:p>
    <w:p>
      <w:pPr>
        <w:pStyle w:val="BodyText"/>
      </w:pPr>
      <w:r>
        <w:t xml:space="preserve">In order to generate my R-based results, a DADA analysis pipeline was used. The packages lubridate, vegan, dada2, phyloseq, and seqinr were also used. The package dada2 was used to clean and analyze the data. Phyloseq was used to visualize the data. Lubridate made it easier to work with times and dates. Seqinr was used to export a fasta of the final denoised sequence variants.</w:t>
      </w:r>
    </w:p>
    <w:p>
      <w:pPr>
        <w:pStyle w:val="BodyText"/>
      </w:pPr>
      <w:r>
        <w:t xml:space="preserve">The fastq sample names were extracted and the full path to the forward reads were specified. The quality profiles of the first 14 samples were plotted. In order to trim the sequences, a couple of steps were carried out. The command</w:t>
      </w:r>
      <w:r>
        <w:t xml:space="preserve"> </w:t>
      </w:r>
      <w:r>
        <w:t xml:space="preserve">“</w:t>
      </w:r>
      <w:r>
        <w:t xml:space="preserve">filterAndTrim</w:t>
      </w:r>
      <w:r>
        <w:t xml:space="preserve">”</w:t>
      </w:r>
      <w:r>
        <w:t xml:space="preserve"> </w:t>
      </w:r>
      <w:r>
        <w:t xml:space="preserve">were used to discard any sequences with N’s, allow up to three expected errors, and cut off the sequences if the quality gets too low. Error models were built from each of the trimmed samples using</w:t>
      </w:r>
      <w:r>
        <w:t xml:space="preserve"> </w:t>
      </w:r>
      <w:r>
        <w:t xml:space="preserve">“</w:t>
      </w:r>
      <w:r>
        <w:t xml:space="preserve">learnErrors</w:t>
      </w:r>
      <w:r>
        <w:t xml:space="preserve">”</w:t>
      </w:r>
      <w:r>
        <w:t xml:space="preserve">, then were checked to see if they matched the data and used to denoise the sequences. Any duplicated sequences were disposed of with</w:t>
      </w:r>
      <w:r>
        <w:t xml:space="preserve"> </w:t>
      </w:r>
      <w:r>
        <w:t xml:space="preserve">“</w:t>
      </w:r>
      <w:r>
        <w:t xml:space="preserve">derepFastq</w:t>
      </w:r>
      <w:r>
        <w:t xml:space="preserve">”</w:t>
      </w:r>
      <w:r>
        <w:t xml:space="preserve"> </w:t>
      </w:r>
      <w:r>
        <w:t xml:space="preserve">and the remaining files were extracted and named. The dereplicated forward reads and error model were used to create a</w:t>
      </w:r>
      <w:r>
        <w:t xml:space="preserve"> </w:t>
      </w:r>
      <w:r>
        <w:t xml:space="preserve">“</w:t>
      </w:r>
      <w:r>
        <w:t xml:space="preserve">true</w:t>
      </w:r>
      <w:r>
        <w:t xml:space="preserve">”</w:t>
      </w:r>
      <w:r>
        <w:t xml:space="preserve"> </w:t>
      </w:r>
      <w:r>
        <w:t xml:space="preserve">list of sequences. The dada results were checked, then used to produce the</w:t>
      </w:r>
      <w:r>
        <w:t xml:space="preserve"> </w:t>
      </w:r>
      <w:r>
        <w:t xml:space="preserve">“</w:t>
      </w:r>
      <w:r>
        <w:t xml:space="preserve">site by species matrix</w:t>
      </w:r>
      <w:r>
        <w:t xml:space="preserve">”</w:t>
      </w:r>
      <w:r>
        <w:t xml:space="preserve"> </w:t>
      </w:r>
      <w:r>
        <w:t xml:space="preserve">(Callahan</w:t>
      </w:r>
      <w:r>
        <w:t xml:space="preserve"> </w:t>
      </w:r>
      <w:r>
        <w:rPr>
          <w:i/>
        </w:rPr>
        <w:t xml:space="preserve">et al.</w:t>
      </w:r>
      <w:r>
        <w:t xml:space="preserve">, 2016)</w:t>
      </w:r>
      <w:r>
        <w:t xml:space="preserve">. A quick check ensued to look at the distribution of trimmed and denoised sequences to check they were appropriately long. The function</w:t>
      </w:r>
      <w:r>
        <w:t xml:space="preserve"> </w:t>
      </w:r>
      <w:r>
        <w:t xml:space="preserve">“</w:t>
      </w:r>
      <w:r>
        <w:t xml:space="preserve">removeBimeraDenovo</w:t>
      </w:r>
      <w:r>
        <w:t xml:space="preserve">”</w:t>
      </w:r>
      <w:r>
        <w:t xml:space="preserve"> </w:t>
      </w:r>
      <w:r>
        <w:t xml:space="preserve">checked for and removed chimeras, which were hybrid PCRs that contained two templates. The percentage of non-chimeric reads was calculated and a table was built showing how many sequences remained. Any sequences shorter than 50 bp were removed because taxonomy could not be assigned. Taxonomy was then assigned with</w:t>
      </w:r>
      <w:r>
        <w:t xml:space="preserve"> </w:t>
      </w:r>
      <w:r>
        <w:t xml:space="preserve">“</w:t>
      </w:r>
      <w:r>
        <w:t xml:space="preserve">assignTaxonomy</w:t>
      </w:r>
      <w:r>
        <w:t xml:space="preserve">”</w:t>
      </w:r>
      <w:r>
        <w:t xml:space="preserve"> </w:t>
      </w:r>
      <w:r>
        <w:t xml:space="preserve">to each sequence variant based on a supplied training set made up of known sequences. These results were then used with phyloseq</w:t>
      </w:r>
      <w:r>
        <w:t xml:space="preserve"> </w:t>
      </w:r>
      <w:r>
        <w:t xml:space="preserve">(McMurdie and Holmes, 2013)</w:t>
      </w:r>
      <w:r>
        <w:t xml:space="preserve"> </w:t>
      </w:r>
      <w:r>
        <w:t xml:space="preserve">to construct phyloseq object.</w:t>
      </w:r>
    </w:p>
    <w:p>
      <w:pPr>
        <w:pStyle w:val="BodyText"/>
      </w:pPr>
      <w:r>
        <w:t xml:space="preserve">The otu table was read in from the saved phyloseq object so the data frame could be converted to a matrix in order to be transposed (orienting samples as rows). The package vegan was used to do a Wilcox test on Shannon alpha diversity metrics and create a rarefaction curve. Phyloseq was used to plot alpha diversity metrics and a barplot of the taxa while dplyr and ggplot melted phyloseq object into a data frame for analysis and visualization to create summary tables of the sequence counts and abundance summary for each Phylum.</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(Table 1 Wilcox p = 0.02).</w:t>
      </w:r>
    </w:p>
    <w:p>
      <w:pPr>
        <w:pStyle w:val="Heading3"/>
      </w:pPr>
      <w:bookmarkStart w:id="36" w:name="morphotypes"/>
      <w:r>
        <w:t xml:space="preserve">Morphotypes</w:t>
      </w:r>
      <w:bookmarkEnd w:id="36"/>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Heading3"/>
      </w:pPr>
      <w:bookmarkStart w:id="37" w:name="grown-cultures"/>
      <w:r>
        <w:t xml:space="preserve">Grown Cultures</w:t>
      </w:r>
      <w:bookmarkEnd w:id="37"/>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Heading2"/>
      </w:pPr>
      <w:bookmarkStart w:id="38" w:name="molecular-data"/>
      <w:r>
        <w:t xml:space="preserve">Molecular Data</w:t>
      </w:r>
      <w:bookmarkEnd w:id="38"/>
    </w:p>
    <w:p>
      <w:pPr>
        <w:pStyle w:val="Heading3"/>
      </w:pPr>
      <w:bookmarkStart w:id="39" w:name="qubit-dna-extraction"/>
      <w:r>
        <w:t xml:space="preserve">Qubit DNA extraction</w:t>
      </w:r>
      <w:bookmarkEnd w:id="39"/>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p>
      <w:pPr>
        <w:pStyle w:val="Heading3"/>
      </w:pPr>
      <w:bookmarkStart w:id="40" w:name="gel-electrophoresis"/>
      <w:r>
        <w:t xml:space="preserve">Gel Electrophoresis</w:t>
      </w:r>
      <w:bookmarkEnd w:id="40"/>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Heading3"/>
      </w:pPr>
      <w:bookmarkStart w:id="41" w:name="sequence-usability-table"/>
      <w:r>
        <w:t xml:space="preserve">Sequence Usability Table</w:t>
      </w:r>
      <w:bookmarkEnd w:id="41"/>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p>
      <w:pPr>
        <w:pStyle w:val="Heading3"/>
      </w:pPr>
      <w:bookmarkStart w:id="42" w:name="blast-table"/>
      <w:r>
        <w:t xml:space="preserve">BLAST Table</w:t>
      </w:r>
      <w:bookmarkEnd w:id="42"/>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p>
      <w:pPr>
        <w:pStyle w:val="Heading3"/>
      </w:pPr>
      <w:bookmarkStart w:id="43" w:name="maximum-likelihood-phylogeny-with-phyml"/>
      <w:r>
        <w:t xml:space="preserve">Maximum Likelihood Phylogeny with PhyML</w:t>
      </w:r>
      <w:bookmarkEnd w:id="43"/>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Heading3"/>
      </w:pPr>
      <w:bookmarkStart w:id="44" w:name="bayesian-phylogeny-with-mr.-bayes"/>
      <w:r>
        <w:t xml:space="preserve">Bayesian Phylogeny with Mr. Bayes</w:t>
      </w:r>
      <w:bookmarkEnd w:id="44"/>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Heading2"/>
      </w:pPr>
      <w:bookmarkStart w:id="45" w:name="culture-free-molecular-data"/>
      <w:r>
        <w:t xml:space="preserve">Culture Free Molecular Data</w:t>
      </w:r>
      <w:bookmarkEnd w:id="45"/>
    </w:p>
    <w:p>
      <w:pPr>
        <w:pStyle w:val="Heading3"/>
      </w:pPr>
      <w:bookmarkStart w:id="46" w:name="qubit-dna-extraction-1"/>
      <w:r>
        <w:t xml:space="preserve">Qubit DNA extraction</w:t>
      </w:r>
      <w:bookmarkEnd w:id="46"/>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p>
      <w:pPr>
        <w:pStyle w:val="Heading3"/>
      </w:pPr>
      <w:bookmarkStart w:id="47" w:name="qubit-right-before-gel-electrophoresis"/>
      <w:r>
        <w:t xml:space="preserve">Qubit Right Before Gel Electrophoresis</w:t>
      </w:r>
      <w:bookmarkEnd w:id="47"/>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p>
      <w:pPr>
        <w:pStyle w:val="Heading3"/>
      </w:pPr>
      <w:bookmarkStart w:id="48" w:name="trimmed-sequences"/>
      <w:r>
        <w:t xml:space="preserve">Trimmed Sequences</w:t>
      </w:r>
      <w:bookmarkEnd w:id="48"/>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p>
      <w:pPr>
        <w:pStyle w:val="Heading3"/>
      </w:pPr>
      <w:bookmarkStart w:id="49" w:name="number-of-species-per-sample"/>
      <w:r>
        <w:t xml:space="preserve">Number of Species per Sample</w:t>
      </w:r>
      <w:bookmarkEnd w:id="49"/>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Heading3"/>
      </w:pPr>
      <w:bookmarkStart w:id="50" w:name="X3ea9c091fcc32703ed673bd30bf8dd1e1f7f864"/>
      <w:r>
        <w:t xml:space="preserve">Finding BLAST species from Cultured Data in Culture-Free Data</w:t>
      </w:r>
      <w:bookmarkEnd w:id="50"/>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4F, there was nothing to compare with the Culture-Free BLAST results (Table 10).</w:t>
      </w:r>
    </w:p>
    <w:p>
      <w:pPr>
        <w:pStyle w:val="Heading3"/>
      </w:pPr>
      <w:bookmarkStart w:id="51" w:name="blast-table-for-control-samples"/>
      <w:r>
        <w:t xml:space="preserve">BLAST Table for Control Samples</w:t>
      </w:r>
      <w:bookmarkEnd w:id="51"/>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p>
      <w:pPr>
        <w:pStyle w:val="Heading2"/>
      </w:pPr>
      <w:bookmarkStart w:id="52" w:name="culture-free-r-program-analyses"/>
      <w:r>
        <w:t xml:space="preserve">Culture-Free R program Analyses</w:t>
      </w:r>
      <w:bookmarkEnd w:id="52"/>
    </w:p>
    <w:p>
      <w:pPr>
        <w:pStyle w:val="FirstParagraph"/>
      </w:pPr>
      <w:r>
        <w:t xml:space="preserve">In the dada2 analysis pipeline, the sample qualities were calculated, sequences were trimmed, chimeras were removed, and more. The pipeline plotted the quality profiles of the first 14 samples. The qualities of all of my samples were very high, meaning all were good quality. The highest of number of bases that were trimmed and denoised off of all of my sequences, including the controls, was 40 base pairs out of thousands of base pairs, leading to the total Amplicon Sequence Variants (Table 12). No samples were removed for low quality. This makes sense as my samples had very high quality scores. Out of 637 input sequences, 79 PCR chimeras were identified and removed. A good percentage, 90.36%, of our reads survived and were therefore non-chimeric (Table 12).</w:t>
      </w:r>
    </w:p>
    <w:p>
      <w:pPr>
        <w:pStyle w:val="BodyText"/>
      </w:pPr>
      <w:r>
        <w:t xml:space="preserve">A rarefaction curve is the relationship between the sample size and the discovery of new species in the sequences. I feel confident that I completely sampled the communities in the samples and the controls because all of the curves asymptoted (Figure 8). All of my samples had over 9,000 base pairs, which was well over where the curves asymptoted (Figure 8).</w:t>
      </w:r>
    </w:p>
    <w:p>
      <w:pPr>
        <w:pStyle w:val="Heading3"/>
      </w:pPr>
      <w:bookmarkStart w:id="53" w:name="using-phyloseq-native-analyses"/>
      <w:r>
        <w:t xml:space="preserve">Using Phyloseq-native Analyses</w:t>
      </w:r>
      <w:bookmarkEnd w:id="53"/>
    </w:p>
    <w:p>
      <w:pPr>
        <w:pStyle w:val="FirstParagraph"/>
      </w:pPr>
      <w:r>
        <w:t xml:space="preserve">As a popular means to quantify composition, Shannon’s index (which highlights the richness component of diversity) and Simpson’s index (emphasizing the evenness component) work together to depict the response variation to changes in richness and evenness</w:t>
      </w:r>
      <w:r>
        <w:t xml:space="preserve"> </w:t>
      </w:r>
      <w:r>
        <w:t xml:space="preserve">(Nagendra, 2002)</w:t>
      </w:r>
      <w:r>
        <w:t xml:space="preserve">. In both Shannon’s and Simpson’s diversity values, the median alpha diversity measure for the samples were greater than the medians of the controls, meaning that my samples had greater richness and evenness in comparison to the positive and negative controls (Figure 9). The mean number of the alpha diversity measures were not significantly different between sample groups for Shannon and Simpson (Wilcox p = 0.7; Wilcox p = 0.7).</w:t>
      </w:r>
    </w:p>
    <w:p>
      <w:pPr>
        <w:pStyle w:val="BodyText"/>
      </w:pPr>
      <w:r>
        <w:t xml:space="preserve">Many of the phylum were unknown, especially in the Communal samples (Figure 10). The majority of the phylum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(Figure 10). The positive controls contained no unknown phylum, which was expected (Figure 10).</w:t>
      </w:r>
    </w:p>
    <w:p>
      <w:pPr>
        <w:pStyle w:val="Heading3"/>
      </w:pPr>
      <w:bookmarkStart w:id="54" w:name="using-dplyr-and-ggplot-analyses"/>
      <w:r>
        <w:t xml:space="preserve">Using dplyr and ggplot Analyses</w:t>
      </w:r>
      <w:bookmarkEnd w:id="54"/>
    </w:p>
    <w:p>
      <w:pPr>
        <w:pStyle w:val="FirstParagraph"/>
      </w:pPr>
      <w:r>
        <w:t xml:space="preserve">The top five abundance values for my samples make it clear that the majority of genera are unknown (Figure 11). 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found in the cultured BLAST data (Figure 11; Table 5).</w:t>
      </w:r>
    </w:p>
    <w:p>
      <w:pPr>
        <w:pStyle w:val="BodyText"/>
      </w:pPr>
      <w:r>
        <w:t xml:space="preserve">Filtering out only my samples using dplyr and ggplot, the three most abundant phyla outside of the unknown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which agrees with Figure 10, which used phyloseq to analyze the data (Figure 12). This gives me confidence that those three phyla were the most prominent in my samples.</w:t>
      </w:r>
    </w:p>
    <w:p>
      <w:pPr>
        <w:pStyle w:val="BodyText"/>
      </w:pPr>
      <w:r>
        <w:t xml:space="preserve">Looking at the three most prominent phyla sorted by sample group: there was a greater mean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13). The error bars show that the samples had a lot of variance, which means that my samples had a range of results and the apparent difference between the sample groups may not be significant (Figure 13).</w:t>
      </w:r>
    </w:p>
    <w:p>
      <w:pPr>
        <w:pStyle w:val="BodyText"/>
      </w:pPr>
      <w:r>
        <w:t xml:space="preserve">There was a greater sum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was more</w:t>
      </w:r>
      <w:r>
        <w:t xml:space="preserve"> </w:t>
      </w:r>
      <w:r>
        <w:rPr>
          <w:i/>
        </w:rPr>
        <w:t xml:space="preserve">Firmicutes</w:t>
      </w:r>
      <w:r>
        <w:t xml:space="preserve"> </w:t>
      </w:r>
      <w:r>
        <w:t xml:space="preserve">in the three most prominent phyla sorted by sample group (Figure 14). Since the distribution of the sum abundances and the mean abundances were similar, it proves that there were only small differences between sample sequences. That also means that my data does not include any extreme outliers, which is favorable.</w:t>
      </w:r>
    </w:p>
    <w:p>
      <w:pPr>
        <w:pStyle w:val="Heading1"/>
      </w:pPr>
      <w:bookmarkStart w:id="55" w:name="discussion"/>
      <w:r>
        <w:t xml:space="preserve">Discussion</w:t>
      </w:r>
      <w:bookmarkEnd w:id="55"/>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Toler Hall, the UC, and Gleeson library. I hypothesized that the keyboards of shared computers have more microbacterial species than individual keyboards because of the increased number of people (students, faculty, staff, etc.) that have access to the keyboard. My primary findings for the cultured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 From the dada2 pipeline, it was discovered that there was no significant difference in Shannon’s and Simpson’s alpha diversity measures between my sample groups.</w:t>
      </w:r>
    </w:p>
    <w:p>
      <w:pPr>
        <w:pStyle w:val="Heading2"/>
      </w:pPr>
      <w:bookmarkStart w:id="56" w:name="grown-cultures-1"/>
      <w:r>
        <w:t xml:space="preserve">Grown Cultures</w:t>
      </w:r>
      <w:bookmarkEnd w:id="56"/>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57" w:name="touchdown-pcr-for-f-key-series"/>
      <w:r>
        <w:t xml:space="preserve">Touchdown PCR for</w:t>
      </w:r>
      <w:r>
        <w:t xml:space="preserve"> </w:t>
      </w:r>
      <w:r>
        <w:t xml:space="preserve">“</w:t>
      </w:r>
      <w:r>
        <w:t xml:space="preserve">F</w:t>
      </w:r>
      <w:r>
        <w:t xml:space="preserve">”</w:t>
      </w:r>
      <w:r>
        <w:t xml:space="preserve"> </w:t>
      </w:r>
      <w:r>
        <w:t xml:space="preserve">key series</w:t>
      </w:r>
      <w:bookmarkEnd w:id="57"/>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58" w:name="pcr-for-key-a-series"/>
      <w:r>
        <w:t xml:space="preserve">PCR for Key</w:t>
      </w:r>
      <w:r>
        <w:t xml:space="preserve"> </w:t>
      </w:r>
      <w:r>
        <w:t xml:space="preserve">“</w:t>
      </w:r>
      <w:r>
        <w:t xml:space="preserve">A</w:t>
      </w:r>
      <w:r>
        <w:t xml:space="preserve">”</w:t>
      </w:r>
      <w:r>
        <w:t xml:space="preserve"> </w:t>
      </w:r>
      <w:r>
        <w:t xml:space="preserve">Series</w:t>
      </w:r>
      <w:bookmarkEnd w:id="58"/>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59" w:name="gel-electrophoresis-1"/>
      <w:r>
        <w:t xml:space="preserve">Gel Electrophoresis</w:t>
      </w:r>
      <w:bookmarkEnd w:id="59"/>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0" w:name="geneious-prime"/>
      <w:r>
        <w:t xml:space="preserve">Geneious Prime</w:t>
      </w:r>
      <w:bookmarkEnd w:id="60"/>
    </w:p>
    <w:p>
      <w:pPr>
        <w:pStyle w:val="FirstParagraph"/>
      </w:pPr>
      <w:r>
        <w:t xml:space="preserve">The sequence 6Fo was not usable possibly either because there the DNA was low quality, an incorrect amount of DNA template was used, mixed templates were sequenced, there was not enough DNA, or I used the wrong the primer (Figure 4).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1" w:name="sequence-relationships"/>
      <w:r>
        <w:t xml:space="preserve">Sequence Relationships</w:t>
      </w:r>
      <w:bookmarkEnd w:id="61"/>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and 5F were</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The only the Genus</w:t>
      </w:r>
      <w:r>
        <w:t xml:space="preserve"> </w:t>
      </w:r>
      <w:r>
        <w:rPr>
          <w:i/>
        </w:rPr>
        <w:t xml:space="preserve">Staphylococcus</w:t>
      </w:r>
      <w:r>
        <w:t xml:space="preserve"> </w:t>
      </w:r>
      <w:r>
        <w:t xml:space="preserve">in the cultured BLAST data were found in the top five genera that were found in my samples from using the dada2 analysis pipeline: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(Figure 11; Table 5). In the culture-free BLAST data, the most top BLAST matches were uncultured organism,</w:t>
      </w:r>
      <w:r>
        <w:t xml:space="preserve"> </w:t>
      </w:r>
      <w:r>
        <w:rPr>
          <w:i/>
        </w:rPr>
        <w:t xml:space="preserve">Bacillus</w:t>
      </w:r>
      <w:r>
        <w:t xml:space="preserve"> </w:t>
      </w:r>
      <w:r>
        <w:t xml:space="preserve">sp., uncultured</w:t>
      </w:r>
      <w:r>
        <w:t xml:space="preserve"> </w:t>
      </w:r>
      <w:r>
        <w:rPr>
          <w:i/>
        </w:rPr>
        <w:t xml:space="preserve">Staphylococcus</w:t>
      </w:r>
      <w:r>
        <w:t xml:space="preserve"> </w:t>
      </w:r>
      <w:r>
        <w:t xml:space="preserve">sp.,</w:t>
      </w:r>
      <w:r>
        <w:t xml:space="preserve"> </w:t>
      </w:r>
      <w:r>
        <w:rPr>
          <w:i/>
        </w:rPr>
        <w:t xml:space="preserve">Streptococcus salivarius</w:t>
      </w:r>
      <w:r>
        <w:t xml:space="preserve">, and</w:t>
      </w:r>
      <w:r>
        <w:t xml:space="preserve"> </w:t>
      </w:r>
      <w:r>
        <w:rPr>
          <w:i/>
        </w:rPr>
        <w:t xml:space="preserve">Pseudomonas protegens</w:t>
      </w:r>
      <w:r>
        <w:t xml:space="preserve">, which matched the matched genera in the dada2 analysis pipeline better. This could be due to the fact that the cultured BLAST had the least amount of data to match to BLAST. The genus</w:t>
      </w:r>
      <w:r>
        <w:t xml:space="preserve"> </w:t>
      </w:r>
      <w:r>
        <w:rPr>
          <w:i/>
        </w:rPr>
        <w:t xml:space="preserve">Propionibacterium</w:t>
      </w:r>
      <w:r>
        <w:t xml:space="preserve"> </w:t>
      </w:r>
      <w:r>
        <w:t xml:space="preserve">is mainly associated with acne development</w:t>
      </w:r>
      <w:r>
        <w:t xml:space="preserve"> </w:t>
      </w:r>
      <w:r>
        <w:t xml:space="preserve">(Bojar and Holland, 2004)</w:t>
      </w:r>
      <w:r>
        <w:t xml:space="preserve">. In the recent past, antibiotics against acne caused by this genus have become less effective with the increasing amount of strains that are becoming resistant.</w:t>
      </w:r>
      <w:r>
        <w:t xml:space="preserve"> </w:t>
      </w:r>
      <w:r>
        <w:rPr>
          <w:i/>
        </w:rPr>
        <w:t xml:space="preserve">Propionibacterium</w:t>
      </w:r>
      <w:r>
        <w:t xml:space="preserve"> </w:t>
      </w:r>
      <w:r>
        <w:t xml:space="preserve">are also found commonly on normal human skin. For future experiments, it would be interesting to test the keyboards of different age groups to see if</w:t>
      </w:r>
      <w:r>
        <w:t xml:space="preserve"> </w:t>
      </w:r>
      <w:r>
        <w:rPr>
          <w:i/>
        </w:rPr>
        <w:t xml:space="preserve">Propionibacterium</w:t>
      </w:r>
      <w:r>
        <w:t xml:space="preserve"> </w:t>
      </w:r>
      <w:r>
        <w:t xml:space="preserve">would remain as the most found Genus as younger age groups have more cases of acne as a result of unhealthy food choices</w:t>
      </w:r>
      <w:r>
        <w:t xml:space="preserve"> </w:t>
      </w:r>
      <w:r>
        <w:t xml:space="preserve">(Wolf</w:t>
      </w:r>
      <w:r>
        <w:t xml:space="preserve"> </w:t>
      </w:r>
      <w:r>
        <w:rPr>
          <w:i/>
        </w:rPr>
        <w:t xml:space="preserve">et al.</w:t>
      </w:r>
      <w:r>
        <w:t xml:space="preserve">, 2004)</w:t>
      </w:r>
      <w:r>
        <w:t xml:space="preserve">. The reason why</w:t>
      </w:r>
      <w:r>
        <w:t xml:space="preserve"> </w:t>
      </w:r>
      <w:r>
        <w:rPr>
          <w:i/>
        </w:rPr>
        <w:t xml:space="preserve">Bacillus</w:t>
      </w:r>
      <w:r>
        <w:t xml:space="preserve"> </w:t>
      </w:r>
      <w:r>
        <w:t xml:space="preserve">was found in the cultured data but not included in the most abundant genera was because I picked random colonies to culture and BLAST (Table 5; Figure 11).</w:t>
      </w:r>
    </w:p>
    <w:p>
      <w:pPr>
        <w:pStyle w:val="BodyText"/>
      </w:pPr>
      <w:r>
        <w:t xml:space="preserve">A majority of my samples had a greater number of surviving sequences after going through Trimmomatic as opposed to the dada2 analysis pipeline (Table 8; Table 12). I expected the samples in the dada2 analysis pipeline to have a smaller number of unique sequences because the samples in the dada2 analysis pipeline got rid of any duplicated sequences and chimeras. However, 1A and 4A had less unique sequences going through Trimmomatic compared to the non-chimeric unique sequences that survived (Table 8; Table 12). A reason for this could be because of the different quality cutoffs between the two approaches.</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 In addition, the alpha diversity metrics numbers of the negative controls were supposed to be zero, however that result was not attained (Figure 9). The majority of the phyla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On the skin, it is normal to find such a large amount</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on the human body which explains why so much of it was found on keyboards (</w:t>
      </w:r>
      <w:r>
        <w:t xml:space="preserve">(Fredborg</w:t>
      </w:r>
      <w:r>
        <w:t xml:space="preserve"> </w:t>
      </w:r>
      <w:r>
        <w:rPr>
          <w:i/>
        </w:rPr>
        <w:t xml:space="preserve">et al.</w:t>
      </w:r>
      <w:r>
        <w:t xml:space="preserve">, 2012)</w:t>
      </w:r>
      <w:r>
        <w:t xml:space="preserve">). The samples had a lot of variance, which means that my samples had a range of results and the apparent difference between the sample groups may not be significant (Figure 13). These three phyla were also found in the negative controls, which was very surprising since it was supposed to be sterile molecular grade reagent water (Figure 10). A possible reason why the negative controls may have contained these contaminants was because the indexes during the last PCR may have been contaminated. For a future experiment, the exact same experiment could be repeated to ensure that was the reason why such odd results were observed in the negative controls.</w:t>
      </w:r>
    </w:p>
    <w:p>
      <w:pPr>
        <w:pStyle w:val="Heading3"/>
      </w:pPr>
      <w:bookmarkStart w:id="62" w:name="big-picture"/>
      <w:r>
        <w:t xml:space="preserve">Big Picture</w:t>
      </w:r>
      <w:bookmarkEnd w:id="62"/>
    </w:p>
    <w:p>
      <w:pPr>
        <w:pStyle w:val="FirstParagraph"/>
      </w:pPr>
      <w:r>
        <w:t xml:space="preserve">Both the cultured data and the culture-free data did not support my hypothesis. There were many bacteria found on the keyboards of both sample groups. However, among these bacteria, there was little diversity. From the cultured data, I discovered that many samples across Communal and Individual keyboards shared genera.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The mean numbers of the alpha diversity measures were also not significantly different between sample groups using Shannon and Simpson (Wilcox p = 0.7; Wilcox p = 0.7). I did, however, find that there was a significant difference in colony abundance on communal keyboards over individual keyboards (Table 1 Wilcox p = 0.02). This indicates that there were more living bacteria on Communal compared to Individual keyboards that were able to grow in the culturing conditions that were set in this experiment. In future experiments, it would be interesting to grow the bacteria in different conditions to see if there remains a significant difference in colony abundance between sample groups.</w:t>
      </w:r>
    </w:p>
    <w:p>
      <w:pPr>
        <w:pStyle w:val="BodyText"/>
      </w:pPr>
      <w:r>
        <w:t xml:space="preserve">Computers, and therefore their keyboards, continue to advance with time as our society’s dependency upon the Internet increases. As of now, computers and individual laptops are very commonplace within a university setting. Food is constantly being consumed around keyboards, providing resources for the bacteria on keyboards</w:t>
      </w:r>
      <w:r>
        <w:t xml:space="preserve"> </w:t>
      </w:r>
      <w:r>
        <w:t xml:space="preserve">(Malik and Naeem, 2014)</w:t>
      </w:r>
      <w:r>
        <w:t xml:space="preserve">. This may explain why I found significantly more colonies of bacteria from the Communal sample group since more people have access to shared computers. Human hands come into contact with the keyboard, which makes sense why most of the bacteria I found from the samples were normally found on skin. Although the microorganisms found on computers may not be pathogenic or malignant (mainly bacteria normally found on skin such as bacteria that cause acne) for most people, they may harm people with compromised immune systems</w:t>
      </w:r>
      <w:r>
        <w:t xml:space="preserve"> </w:t>
      </w:r>
      <w:r>
        <w:t xml:space="preserve">(Fraser and Girling, 2009)</w:t>
      </w:r>
      <w:r>
        <w:t xml:space="preserve">. As such, even though I did not find a significant difference between the number of species between Communal and Individual sample groups, humans still have the responsibility to uphold good hygiene and clean their keyboards on a regular basis.</w:t>
      </w:r>
    </w:p>
    <w:p>
      <w:pPr>
        <w:pStyle w:val="Heading1"/>
      </w:pPr>
      <w:bookmarkStart w:id="63" w:name="figures-and-tables"/>
      <w:r>
        <w:t xml:space="preserve">Figures and Tables</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67"/>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Survived</w:t>
            </w:r>
          </w:p>
        </w:tc>
        <w:tc>
          <w:tcPr>
            <w:tcBorders>
              <w:bottom w:val="single"/>
            </w:tcBorders>
            <w:vAlign w:val="bottom"/>
          </w:tcPr>
          <w:p>
            <w:pPr>
              <w:pStyle w:val="Compact"/>
              <w:jc w:val="left"/>
            </w:pPr>
            <w:r>
              <w:t xml:space="preserve">Dropped%</w:t>
            </w:r>
          </w:p>
        </w:tc>
      </w:tr>
      <w:tr>
        <w:tc>
          <w:p>
            <w:pPr>
              <w:pStyle w:val="Compact"/>
              <w:jc w:val="left"/>
            </w:pPr>
            <w:r>
              <w:t xml:space="preserve">1A</w:t>
            </w:r>
          </w:p>
        </w:tc>
        <w:tc>
          <w:p>
            <w:pPr>
              <w:pStyle w:val="Compact"/>
              <w:jc w:val="left"/>
            </w:pPr>
            <w:r>
              <w:t xml:space="preserve">95.16%</w:t>
            </w:r>
          </w:p>
        </w:tc>
        <w:tc>
          <w:p>
            <w:pPr>
              <w:pStyle w:val="Compact"/>
              <w:jc w:val="left"/>
            </w:pPr>
            <w:r>
              <w:t xml:space="preserve">13971</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12796</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14715</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9158</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13710</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10769</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make-a-rarefaction-curve-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Rarefaction curve of samples (1A-6A) and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and-simpson-diversity-figur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of Shannon alpha diversity metrics according to sample type. The mean number of the alpha diversity measures were not significantly different between sample groups for Shannon and Simpson (Wilcox p = 0.7; Wilcox p = 0.7).</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of-taxa-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Barplot of the variety of phyla per sample group using Phyloseq-native analyses.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bargraph-of-abundance-summary-for-Genus-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Summary boxplot of sum abundance summary for the top five genera.</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Bar graph of sum abundance summary for each Phylum.</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mean-abundance-summary-per-Phylum-per-sample-group-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Bar graph of mean abundance summary for each Phylum per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per-sample-group-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r>
        <w:t xml:space="preserve"> </w:t>
      </w:r>
      <w:r>
        <w:t xml:space="preserve">Bar graph of sum abundance summary for each Phylum per sample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Denoised</w:t>
            </w:r>
          </w:p>
        </w:tc>
        <w:tc>
          <w:tcPr>
            <w:tcBorders>
              <w:bottom w:val="single"/>
            </w:tcBorders>
            <w:vAlign w:val="bottom"/>
          </w:tcPr>
          <w:p>
            <w:pPr>
              <w:pStyle w:val="Compact"/>
              <w:jc w:val="left"/>
            </w:pPr>
            <w:r>
              <w:t xml:space="preserve">Non-Chimeric</w:t>
            </w:r>
          </w:p>
        </w:tc>
      </w:tr>
      <w:tr>
        <w:tc>
          <w:p>
            <w:pPr>
              <w:pStyle w:val="Compact"/>
              <w:jc w:val="left"/>
            </w:pPr>
            <w:r>
              <w:t xml:space="preserve">Neg. Control 1</w:t>
            </w:r>
          </w:p>
        </w:tc>
        <w:tc>
          <w:p>
            <w:pPr>
              <w:pStyle w:val="Compact"/>
              <w:jc w:val="left"/>
            </w:pPr>
            <w:r>
              <w:t xml:space="preserve">10661</w:t>
            </w:r>
          </w:p>
        </w:tc>
        <w:tc>
          <w:p>
            <w:pPr>
              <w:pStyle w:val="Compact"/>
              <w:jc w:val="left"/>
            </w:pPr>
            <w:r>
              <w:t xml:space="preserve">9769</w:t>
            </w:r>
          </w:p>
        </w:tc>
      </w:tr>
      <w:tr>
        <w:tc>
          <w:p>
            <w:pPr>
              <w:pStyle w:val="Compact"/>
              <w:jc w:val="left"/>
            </w:pPr>
            <w:r>
              <w:t xml:space="preserve">Neg. Control 2</w:t>
            </w:r>
          </w:p>
        </w:tc>
        <w:tc>
          <w:p>
            <w:pPr>
              <w:pStyle w:val="Compact"/>
              <w:jc w:val="left"/>
            </w:pPr>
            <w:r>
              <w:t xml:space="preserve">3224</w:t>
            </w:r>
          </w:p>
        </w:tc>
        <w:tc>
          <w:p>
            <w:pPr>
              <w:pStyle w:val="Compact"/>
              <w:jc w:val="left"/>
            </w:pPr>
            <w:r>
              <w:t xml:space="preserve">2861</w:t>
            </w:r>
          </w:p>
        </w:tc>
      </w:tr>
      <w:tr>
        <w:tc>
          <w:p>
            <w:pPr>
              <w:pStyle w:val="Compact"/>
              <w:jc w:val="left"/>
            </w:pPr>
            <w:r>
              <w:t xml:space="preserve">Neg. Control 3</w:t>
            </w:r>
          </w:p>
        </w:tc>
        <w:tc>
          <w:p>
            <w:pPr>
              <w:pStyle w:val="Compact"/>
              <w:jc w:val="left"/>
            </w:pPr>
            <w:r>
              <w:t xml:space="preserve">13672</w:t>
            </w:r>
          </w:p>
        </w:tc>
        <w:tc>
          <w:p>
            <w:pPr>
              <w:pStyle w:val="Compact"/>
              <w:jc w:val="left"/>
            </w:pPr>
            <w:r>
              <w:t xml:space="preserve">12301</w:t>
            </w:r>
          </w:p>
        </w:tc>
      </w:tr>
      <w:tr>
        <w:tc>
          <w:p>
            <w:pPr>
              <w:pStyle w:val="Compact"/>
              <w:jc w:val="left"/>
            </w:pPr>
            <w:r>
              <w:t xml:space="preserve">Neg. Control 4</w:t>
            </w:r>
          </w:p>
        </w:tc>
        <w:tc>
          <w:p>
            <w:pPr>
              <w:pStyle w:val="Compact"/>
              <w:jc w:val="left"/>
            </w:pPr>
            <w:r>
              <w:t xml:space="preserve">7669</w:t>
            </w:r>
          </w:p>
        </w:tc>
        <w:tc>
          <w:p>
            <w:pPr>
              <w:pStyle w:val="Compact"/>
              <w:jc w:val="left"/>
            </w:pPr>
            <w:r>
              <w:t xml:space="preserve">7112</w:t>
            </w:r>
          </w:p>
        </w:tc>
      </w:tr>
      <w:tr>
        <w:tc>
          <w:p>
            <w:pPr>
              <w:pStyle w:val="Compact"/>
              <w:jc w:val="left"/>
            </w:pPr>
            <w:r>
              <w:t xml:space="preserve">Pos. Control 1</w:t>
            </w:r>
          </w:p>
        </w:tc>
        <w:tc>
          <w:p>
            <w:pPr>
              <w:pStyle w:val="Compact"/>
              <w:jc w:val="left"/>
            </w:pPr>
            <w:r>
              <w:t xml:space="preserve">5150</w:t>
            </w:r>
          </w:p>
        </w:tc>
        <w:tc>
          <w:p>
            <w:pPr>
              <w:pStyle w:val="Compact"/>
              <w:jc w:val="left"/>
            </w:pPr>
            <w:r>
              <w:t xml:space="preserve">4745</w:t>
            </w:r>
          </w:p>
        </w:tc>
      </w:tr>
      <w:tr>
        <w:tc>
          <w:p>
            <w:pPr>
              <w:pStyle w:val="Compact"/>
              <w:jc w:val="left"/>
            </w:pPr>
            <w:r>
              <w:t xml:space="preserve">Pos. Control 2</w:t>
            </w:r>
          </w:p>
        </w:tc>
        <w:tc>
          <w:p>
            <w:pPr>
              <w:pStyle w:val="Compact"/>
              <w:jc w:val="left"/>
            </w:pPr>
            <w:r>
              <w:t xml:space="preserve">4022</w:t>
            </w:r>
          </w:p>
        </w:tc>
        <w:tc>
          <w:p>
            <w:pPr>
              <w:pStyle w:val="Compact"/>
              <w:jc w:val="left"/>
            </w:pPr>
            <w:r>
              <w:t xml:space="preserve">3882</w:t>
            </w:r>
          </w:p>
        </w:tc>
      </w:tr>
      <w:tr>
        <w:tc>
          <w:p>
            <w:pPr>
              <w:pStyle w:val="Compact"/>
              <w:jc w:val="left"/>
            </w:pPr>
            <w:r>
              <w:t xml:space="preserve">Pos. Control 3</w:t>
            </w:r>
          </w:p>
        </w:tc>
        <w:tc>
          <w:p>
            <w:pPr>
              <w:pStyle w:val="Compact"/>
              <w:jc w:val="left"/>
            </w:pPr>
            <w:r>
              <w:t xml:space="preserve">8390</w:t>
            </w:r>
          </w:p>
        </w:tc>
        <w:tc>
          <w:p>
            <w:pPr>
              <w:pStyle w:val="Compact"/>
              <w:jc w:val="left"/>
            </w:pPr>
            <w:r>
              <w:t xml:space="preserve">7194</w:t>
            </w:r>
          </w:p>
        </w:tc>
      </w:tr>
      <w:tr>
        <w:tc>
          <w:p>
            <w:pPr>
              <w:pStyle w:val="Compact"/>
              <w:jc w:val="left"/>
            </w:pPr>
            <w:r>
              <w:t xml:space="preserve">Pos. Control 4</w:t>
            </w:r>
          </w:p>
        </w:tc>
        <w:tc>
          <w:p>
            <w:pPr>
              <w:pStyle w:val="Compact"/>
              <w:jc w:val="left"/>
            </w:pPr>
            <w:r>
              <w:t xml:space="preserve">9218</w:t>
            </w:r>
          </w:p>
        </w:tc>
        <w:tc>
          <w:p>
            <w:pPr>
              <w:pStyle w:val="Compact"/>
              <w:jc w:val="left"/>
            </w:pPr>
            <w:r>
              <w:t xml:space="preserve">7865</w:t>
            </w:r>
          </w:p>
        </w:tc>
      </w:tr>
      <w:tr>
        <w:tc>
          <w:p>
            <w:pPr>
              <w:pStyle w:val="Compact"/>
              <w:jc w:val="left"/>
            </w:pPr>
            <w:r>
              <w:t xml:space="preserve">1A</w:t>
            </w:r>
          </w:p>
        </w:tc>
        <w:tc>
          <w:p>
            <w:pPr>
              <w:pStyle w:val="Compact"/>
              <w:jc w:val="left"/>
            </w:pPr>
            <w:r>
              <w:t xml:space="preserve">14549</w:t>
            </w:r>
          </w:p>
        </w:tc>
        <w:tc>
          <w:p>
            <w:pPr>
              <w:pStyle w:val="Compact"/>
              <w:jc w:val="left"/>
            </w:pPr>
            <w:r>
              <w:t xml:space="preserve">14127</w:t>
            </w:r>
          </w:p>
        </w:tc>
      </w:tr>
      <w:tr>
        <w:tc>
          <w:p>
            <w:pPr>
              <w:pStyle w:val="Compact"/>
              <w:jc w:val="left"/>
            </w:pPr>
            <w:r>
              <w:t xml:space="preserve">2A</w:t>
            </w:r>
          </w:p>
        </w:tc>
        <w:tc>
          <w:p>
            <w:pPr>
              <w:pStyle w:val="Compact"/>
              <w:jc w:val="left"/>
            </w:pPr>
            <w:r>
              <w:t xml:space="preserve">13169</w:t>
            </w:r>
          </w:p>
        </w:tc>
        <w:tc>
          <w:p>
            <w:pPr>
              <w:pStyle w:val="Compact"/>
              <w:jc w:val="left"/>
            </w:pPr>
            <w:r>
              <w:t xml:space="preserve">12719</w:t>
            </w:r>
          </w:p>
        </w:tc>
      </w:tr>
      <w:tr>
        <w:tc>
          <w:p>
            <w:pPr>
              <w:pStyle w:val="Compact"/>
              <w:jc w:val="left"/>
            </w:pPr>
            <w:r>
              <w:t xml:space="preserve">3A</w:t>
            </w:r>
          </w:p>
        </w:tc>
        <w:tc>
          <w:p>
            <w:pPr>
              <w:pStyle w:val="Compact"/>
              <w:jc w:val="left"/>
            </w:pPr>
            <w:r>
              <w:t xml:space="preserve">15055</w:t>
            </w:r>
          </w:p>
        </w:tc>
        <w:tc>
          <w:p>
            <w:pPr>
              <w:pStyle w:val="Compact"/>
              <w:jc w:val="left"/>
            </w:pPr>
            <w:r>
              <w:t xml:space="preserve">13487</w:t>
            </w:r>
          </w:p>
        </w:tc>
      </w:tr>
      <w:tr>
        <w:tc>
          <w:p>
            <w:pPr>
              <w:pStyle w:val="Compact"/>
              <w:jc w:val="left"/>
            </w:pPr>
            <w:r>
              <w:t xml:space="preserve">4A</w:t>
            </w:r>
          </w:p>
        </w:tc>
        <w:tc>
          <w:p>
            <w:pPr>
              <w:pStyle w:val="Compact"/>
              <w:jc w:val="left"/>
            </w:pPr>
            <w:r>
              <w:t xml:space="preserve">9586</w:t>
            </w:r>
          </w:p>
        </w:tc>
        <w:tc>
          <w:p>
            <w:pPr>
              <w:pStyle w:val="Compact"/>
              <w:jc w:val="left"/>
            </w:pPr>
            <w:r>
              <w:t xml:space="preserve">9420</w:t>
            </w:r>
          </w:p>
        </w:tc>
      </w:tr>
      <w:tr>
        <w:tc>
          <w:p>
            <w:pPr>
              <w:pStyle w:val="Compact"/>
              <w:jc w:val="left"/>
            </w:pPr>
            <w:r>
              <w:t xml:space="preserve">5A</w:t>
            </w:r>
          </w:p>
        </w:tc>
        <w:tc>
          <w:p>
            <w:pPr>
              <w:pStyle w:val="Compact"/>
              <w:jc w:val="left"/>
            </w:pPr>
            <w:r>
              <w:t xml:space="preserve">14145</w:t>
            </w:r>
          </w:p>
        </w:tc>
        <w:tc>
          <w:p>
            <w:pPr>
              <w:pStyle w:val="Compact"/>
              <w:jc w:val="left"/>
            </w:pPr>
            <w:r>
              <w:t xml:space="preserve">13312</w:t>
            </w:r>
          </w:p>
        </w:tc>
      </w:tr>
      <w:tr>
        <w:tc>
          <w:p>
            <w:pPr>
              <w:pStyle w:val="Compact"/>
              <w:jc w:val="left"/>
            </w:pPr>
            <w:r>
              <w:t xml:space="preserve">6A</w:t>
            </w:r>
          </w:p>
        </w:tc>
        <w:tc>
          <w:p>
            <w:pPr>
              <w:pStyle w:val="Compact"/>
              <w:jc w:val="left"/>
            </w:pPr>
            <w:r>
              <w:t xml:space="preserve">11169</w:t>
            </w:r>
          </w:p>
        </w:tc>
        <w:tc>
          <w:p>
            <w:pPr>
              <w:pStyle w:val="Compact"/>
              <w:jc w:val="left"/>
            </w:pPr>
            <w:r>
              <w:t xml:space="preserve">9822</w:t>
            </w:r>
          </w:p>
        </w:tc>
      </w:tr>
    </w:tbl>
    <w:p>
      <w:pPr>
        <w:pStyle w:val="BodyText"/>
      </w:pPr>
      <w:r>
        <w:rPr>
          <w:b/>
        </w:rPr>
        <w:t xml:space="preserve">Table 12:</w:t>
      </w:r>
      <w:r>
        <w:t xml:space="preserve"> </w:t>
      </w:r>
      <w:r>
        <w:t xml:space="preserve">Table of the denoised and non-chimeric unique sequences from dada2 analysis pipeline.</w:t>
      </w:r>
    </w:p>
    <w:p>
      <w:pPr>
        <w:pStyle w:val="Heading1"/>
      </w:pPr>
      <w:bookmarkStart w:id="78" w:name="sources-cited"/>
      <w:r>
        <w:t xml:space="preserve">Sources Cited</w:t>
      </w:r>
      <w:bookmarkEnd w:id="78"/>
    </w:p>
    <w:bookmarkStart w:id="109" w:name="refs"/>
    <w:bookmarkStart w:id="79"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79"/>
    <w:bookmarkStart w:id="80"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80"/>
    <w:bookmarkStart w:id="81" w:name="ref-belshaw2004blastalign"/>
    <w:p>
      <w:pPr>
        <w:pStyle w:val="Bibliography"/>
      </w:pPr>
      <w:r>
        <w:t xml:space="preserve">Belshaw,R. and Katzourakis,A. (2004) BlastAlign: A program that uses blast to align problematic nucleotide sequences.</w:t>
      </w:r>
      <w:r>
        <w:t xml:space="preserve"> </w:t>
      </w:r>
      <w:r>
        <w:rPr>
          <w:i/>
        </w:rPr>
        <w:t xml:space="preserve">Bioinformatics</w:t>
      </w:r>
      <w:r>
        <w:t xml:space="preserve">,</w:t>
      </w:r>
      <w:r>
        <w:t xml:space="preserve"> </w:t>
      </w:r>
      <w:r>
        <w:rPr>
          <w:b/>
        </w:rPr>
        <w:t xml:space="preserve">21</w:t>
      </w:r>
      <w:r>
        <w:t xml:space="preserve">, 122–123.</w:t>
      </w:r>
    </w:p>
    <w:bookmarkEnd w:id="81"/>
    <w:bookmarkStart w:id="82" w:name="ref-ben1994generic"/>
    <w:p>
      <w:pPr>
        <w:pStyle w:val="Bibliography"/>
      </w:pPr>
      <w:r>
        <w:t xml:space="preserve">Ben-Jacob,E.</w:t>
      </w:r>
      <w:r>
        <w:t xml:space="preserve"> </w:t>
      </w:r>
      <w:r>
        <w:rPr>
          <w:i/>
        </w:rPr>
        <w:t xml:space="preserve">et al.</w:t>
      </w:r>
      <w:r>
        <w:t xml:space="preserve"> </w:t>
      </w:r>
      <w:r>
        <w:t xml:space="preserve">(1994) Generic modelling of cooperative growth patterns in bacterial colonies.</w:t>
      </w:r>
      <w:r>
        <w:t xml:space="preserve"> </w:t>
      </w:r>
      <w:r>
        <w:rPr>
          <w:i/>
        </w:rPr>
        <w:t xml:space="preserve">Nature</w:t>
      </w:r>
      <w:r>
        <w:t xml:space="preserve">,</w:t>
      </w:r>
      <w:r>
        <w:t xml:space="preserve"> </w:t>
      </w:r>
      <w:r>
        <w:rPr>
          <w:b/>
        </w:rPr>
        <w:t xml:space="preserve">368</w:t>
      </w:r>
      <w:r>
        <w:t xml:space="preserve">, 46.</w:t>
      </w:r>
    </w:p>
    <w:bookmarkEnd w:id="82"/>
    <w:bookmarkStart w:id="83" w:name="ref-bojar2004acne"/>
    <w:p>
      <w:pPr>
        <w:pStyle w:val="Bibliography"/>
      </w:pPr>
      <w:r>
        <w:t xml:space="preserve">Bojar,R.A. and Holland,K.T. (2004) Acne and propionibacterium acnes.</w:t>
      </w:r>
      <w:r>
        <w:t xml:space="preserve"> </w:t>
      </w:r>
      <w:r>
        <w:rPr>
          <w:i/>
        </w:rPr>
        <w:t xml:space="preserve">Clinics in dermatology</w:t>
      </w:r>
      <w:r>
        <w:t xml:space="preserve">,</w:t>
      </w:r>
      <w:r>
        <w:t xml:space="preserve"> </w:t>
      </w:r>
      <w:r>
        <w:rPr>
          <w:b/>
        </w:rPr>
        <w:t xml:space="preserve">22</w:t>
      </w:r>
      <w:r>
        <w:t xml:space="preserve">, 375–379.</w:t>
      </w:r>
    </w:p>
    <w:bookmarkEnd w:id="83"/>
    <w:bookmarkStart w:id="84"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4"/>
    <w:bookmarkStart w:id="85"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85"/>
    <w:bookmarkStart w:id="86"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86"/>
    <w:bookmarkStart w:id="87" w:name="ref-fraser2009bacterial"/>
    <w:p>
      <w:pPr>
        <w:pStyle w:val="Bibliography"/>
      </w:pPr>
      <w:r>
        <w:t xml:space="preserve">Fraser,M. and Girling,S. (2009) Bacterial carriage of computer keyboards in veterinary practices in scotland.</w:t>
      </w:r>
    </w:p>
    <w:bookmarkEnd w:id="87"/>
    <w:bookmarkStart w:id="88" w:name="ref-fredborg2012g"/>
    <w:p>
      <w:pPr>
        <w:pStyle w:val="Bibliography"/>
      </w:pPr>
      <w:r>
        <w:t xml:space="preserve">Fredborg,M.</w:t>
      </w:r>
      <w:r>
        <w:t xml:space="preserve"> </w:t>
      </w:r>
      <w:r>
        <w:rPr>
          <w:i/>
        </w:rPr>
        <w:t xml:space="preserve">et al.</w:t>
      </w:r>
      <w:r>
        <w:t xml:space="preserve"> </w:t>
      </w:r>
      <w:r>
        <w:t xml:space="preserve">(2012) G protein-coupled receptor120 (gpr120) transcription in intestinal epithelial cells is significantly affected by bacteria belonging to the bacteroides, proteobacteria, and firmicutes phyla.</w:t>
      </w:r>
      <w:r>
        <w:t xml:space="preserve"> </w:t>
      </w:r>
      <w:r>
        <w:rPr>
          <w:i/>
        </w:rPr>
        <w:t xml:space="preserve">Journal of animal science</w:t>
      </w:r>
      <w:r>
        <w:t xml:space="preserve">,</w:t>
      </w:r>
      <w:r>
        <w:t xml:space="preserve"> </w:t>
      </w:r>
      <w:r>
        <w:rPr>
          <w:b/>
        </w:rPr>
        <w:t xml:space="preserve">90</w:t>
      </w:r>
      <w:r>
        <w:t xml:space="preserve">, 10–12.</w:t>
      </w:r>
    </w:p>
    <w:bookmarkEnd w:id="88"/>
    <w:bookmarkStart w:id="89"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89"/>
    <w:bookmarkStart w:id="90" w:name="ref-hamzeh2011computer"/>
    <w:p>
      <w:pPr>
        <w:pStyle w:val="Bibliography"/>
      </w:pPr>
      <w:r>
        <w:t xml:space="preserve">Hamzeh,F. and Na’was,T. (2011) Computer mice in public centers: A source of pathogenic bacteria.</w:t>
      </w:r>
    </w:p>
    <w:bookmarkEnd w:id="90"/>
    <w:bookmarkStart w:id="91"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91"/>
    <w:bookmarkStart w:id="9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92"/>
    <w:bookmarkStart w:id="93"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93"/>
    <w:bookmarkStart w:id="94" w:name="ref-iwase2010staphylococcus"/>
    <w:p>
      <w:pPr>
        <w:pStyle w:val="Bibliography"/>
      </w:pPr>
      <w:r>
        <w:t xml:space="preserve">Iwase,T.</w:t>
      </w:r>
      <w:r>
        <w:t xml:space="preserve"> </w:t>
      </w:r>
      <w:r>
        <w:rPr>
          <w:i/>
        </w:rPr>
        <w:t xml:space="preserve">et al.</w:t>
      </w:r>
      <w:r>
        <w:t xml:space="preserve"> </w:t>
      </w:r>
      <w:r>
        <w:t xml:space="preserve">(2010) Staphylococcus epidermidis esp inhibits staphylococcus aureus biofilm formation and nasal colonization.</w:t>
      </w:r>
      <w:r>
        <w:t xml:space="preserve"> </w:t>
      </w:r>
      <w:r>
        <w:rPr>
          <w:i/>
        </w:rPr>
        <w:t xml:space="preserve">Nature</w:t>
      </w:r>
      <w:r>
        <w:t xml:space="preserve">,</w:t>
      </w:r>
      <w:r>
        <w:t xml:space="preserve"> </w:t>
      </w:r>
      <w:r>
        <w:rPr>
          <w:b/>
        </w:rPr>
        <w:t xml:space="preserve">465</w:t>
      </w:r>
      <w:r>
        <w:t xml:space="preserve">, 346.</w:t>
      </w:r>
    </w:p>
    <w:bookmarkEnd w:id="94"/>
    <w:bookmarkStart w:id="95"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95"/>
    <w:bookmarkStart w:id="96"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96"/>
    <w:bookmarkStart w:id="97"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97"/>
    <w:bookmarkStart w:id="98"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98"/>
    <w:bookmarkStart w:id="99"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99"/>
    <w:bookmarkStart w:id="10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100"/>
    <w:bookmarkStart w:id="10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101"/>
    <w:bookmarkStart w:id="102" w:name="ref-nagendra2002opposite"/>
    <w:p>
      <w:pPr>
        <w:pStyle w:val="Bibliography"/>
      </w:pPr>
      <w:r>
        <w:t xml:space="preserve">Nagendra,H. (2002) Opposite trends in response for the shannon and simpson indices of landscape diversity.</w:t>
      </w:r>
      <w:r>
        <w:t xml:space="preserve"> </w:t>
      </w:r>
      <w:r>
        <w:rPr>
          <w:i/>
        </w:rPr>
        <w:t xml:space="preserve">Applied geography</w:t>
      </w:r>
      <w:r>
        <w:t xml:space="preserve">,</w:t>
      </w:r>
      <w:r>
        <w:t xml:space="preserve"> </w:t>
      </w:r>
      <w:r>
        <w:rPr>
          <w:b/>
        </w:rPr>
        <w:t xml:space="preserve">22</w:t>
      </w:r>
      <w:r>
        <w:t xml:space="preserve">, 175–186.</w:t>
      </w:r>
    </w:p>
    <w:bookmarkEnd w:id="102"/>
    <w:bookmarkStart w:id="103"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103"/>
    <w:bookmarkStart w:id="104" w:name="ref-o2001staphylococcus"/>
    <w:p>
      <w:pPr>
        <w:pStyle w:val="Bibliography"/>
      </w:pPr>
      <w:r>
        <w:t xml:space="preserve">O’GARA,J.P. and Humphreys,H. (2001) Staphylococcus epidermidis biofilms: Importance and implications.</w:t>
      </w:r>
      <w:r>
        <w:t xml:space="preserve"> </w:t>
      </w:r>
      <w:r>
        <w:rPr>
          <w:i/>
        </w:rPr>
        <w:t xml:space="preserve">Journal of medical microbiology</w:t>
      </w:r>
      <w:r>
        <w:t xml:space="preserve">,</w:t>
      </w:r>
      <w:r>
        <w:t xml:space="preserve"> </w:t>
      </w:r>
      <w:r>
        <w:rPr>
          <w:b/>
        </w:rPr>
        <w:t xml:space="preserve">50</w:t>
      </w:r>
      <w:r>
        <w:t xml:space="preserve">, 582–587.</w:t>
      </w:r>
    </w:p>
    <w:bookmarkEnd w:id="104"/>
    <w:bookmarkStart w:id="105"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105"/>
    <w:bookmarkStart w:id="106"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6"/>
    <w:bookmarkStart w:id="107" w:name="ref-weberextract"/>
    <w:p>
      <w:pPr>
        <w:pStyle w:val="Bibliography"/>
      </w:pPr>
      <w:r>
        <w:t xml:space="preserve">Weber,S. and Douglas,D. Extract-n-amp™ tissue pcr kit: Rapid genomic dna extraction from tissue coupled with pcr.</w:t>
      </w:r>
    </w:p>
    <w:bookmarkEnd w:id="107"/>
    <w:bookmarkStart w:id="108" w:name="ref-wolf2004acne"/>
    <w:p>
      <w:pPr>
        <w:pStyle w:val="Bibliography"/>
      </w:pPr>
      <w:r>
        <w:t xml:space="preserve">Wolf,R.</w:t>
      </w:r>
      <w:r>
        <w:t xml:space="preserve"> </w:t>
      </w:r>
      <w:r>
        <w:rPr>
          <w:i/>
        </w:rPr>
        <w:t xml:space="preserve">et al.</w:t>
      </w:r>
      <w:r>
        <w:t xml:space="preserve"> </w:t>
      </w:r>
      <w:r>
        <w:t xml:space="preserve">(2004) Acne and diet.</w:t>
      </w:r>
      <w:r>
        <w:t xml:space="preserve"> </w:t>
      </w:r>
      <w:r>
        <w:rPr>
          <w:i/>
        </w:rPr>
        <w:t xml:space="preserve">Clinics in dermatology</w:t>
      </w:r>
      <w:r>
        <w:t xml:space="preserve">,</w:t>
      </w:r>
      <w:r>
        <w:t xml:space="preserve"> </w:t>
      </w:r>
      <w:r>
        <w:rPr>
          <w:b/>
        </w:rPr>
        <w:t xml:space="preserve">22</w:t>
      </w:r>
      <w:r>
        <w:t xml:space="preserve">, 387–393.</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67" Target="media/rId67.png" /><Relationship Type="http://schemas.openxmlformats.org/officeDocument/2006/relationships/image" Id="rId66" Target="media/rId66.jpg" /><Relationship Type="http://schemas.openxmlformats.org/officeDocument/2006/relationships/image" Id="rId69" Target="media/rId69.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2019-12-02T23:24:34Z</dcterms:created>
  <dcterms:modified xsi:type="dcterms:W3CDTF">2019-12-02T23:24:34Z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4, 2019</vt:lpwstr>
  </property>
  <property fmtid="{D5CDD505-2E9C-101B-9397-08002B2CF9AE}" pid="5" name="output">
    <vt:lpwstr>word_document</vt:lpwstr>
  </property>
</Properties>
</file>