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6.png" ContentType="image/png"/>
  <Override PartName="/word/media/rId36.png" ContentType="image/png"/>
  <Override PartName="/word/media/rId38.png" ContentType="image/png"/>
  <Override PartName="/word/media/rId60.png" ContentType="image/png"/>
  <Override PartName="/word/media/rId56.png" ContentType="image/png"/>
  <Override PartName="/word/media/rId62.png" ContentType="image/png"/>
  <Override PartName="/word/media/rId65.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put an emphasis on the importance of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either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 (SLIDINGWINDOW:8:25 MINLEN: 140). Bioawk was used to convert fastqc files into fasta files, the format required for BLAST. I ran BLAST against the local database to find the closest matched sequence for every sequence in my fasta files: 1A-6A. BLAST was also run against the local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p>
    <w:p>
      <w:pPr>
        <w:pStyle w:val="BodyText"/>
      </w:pP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 to construct phyloseq object</w:t>
      </w:r>
      <w:r>
        <w:t xml:space="preserve"> </w:t>
      </w:r>
      <w:r>
        <w:t xml:space="preserve">(McMurdie and Holmes, 2013)</w:t>
      </w:r>
      <w:r>
        <w:t xml:space="preserve">.</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2"/>
      </w:pPr>
      <w:bookmarkStart w:id="59" w:name="culture-free-r-program-figurestables"/>
      <w:r>
        <w:t xml:space="preserve">Culture-Free R program figures/tables</w:t>
      </w:r>
      <w:bookmarkEnd w:id="59"/>
    </w:p>
    <w:p>
      <w:pPr>
        <w:pStyle w:val="FirstParagraph"/>
      </w:pPr>
      <w:r>
        <w:t xml:space="preserve">A rarefaction curve is the relationship between the sample size and the discovery of new species in the sequences. I feel confident that I completely sampled the communities in the samples and the controls because all of the curves asymtoted (Figure 8). All of my samples had over 9,000 base pairs, which was well over where the curves asympototed (Figure 8).</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Heading3"/>
      </w:pPr>
      <w:bookmarkStart w:id="61" w:name="using-phyloseq-native-analyses"/>
      <w:r>
        <w:t xml:space="preserve">Using Phyloseq-native Analyses</w:t>
      </w:r>
      <w:bookmarkEnd w:id="61"/>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mean number of the alpha diversity measures were not significantly different between sample groups for Shannon and Simpson (Table 12 Wilcox p = 0.7; Table 13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(Table 12 Wilcox p = 0.7; Table 13 Wilcox p = 0.7).</w:t>
      </w:r>
    </w:p>
    <w:p>
      <w:pPr>
        <w:pStyle w:val="SourceCode"/>
      </w:pPr>
      <w:r>
        <w:rPr>
          <w:rStyle w:val="VerbatimChar"/>
        </w:rPr>
        <w:t xml:space="preserve">## </w:t>
      </w:r>
      <w:r>
        <w:br w:type="textWrapping"/>
      </w:r>
      <w:r>
        <w:rPr>
          <w:rStyle w:val="VerbatimChar"/>
        </w:rPr>
        <w:t xml:space="preserve">##  Wilcoxon rank sum test</w:t>
      </w:r>
      <w:r>
        <w:br w:type="textWrapping"/>
      </w:r>
      <w:r>
        <w:rPr>
          <w:rStyle w:val="VerbatimChar"/>
        </w:rPr>
        <w:t xml:space="preserve">## </w:t>
      </w:r>
      <w:r>
        <w:br w:type="textWrapping"/>
      </w:r>
      <w:r>
        <w:rPr>
          <w:rStyle w:val="VerbatimChar"/>
        </w:rPr>
        <w:t xml:space="preserve">## data:  jc_shannon_div by jc_group</w:t>
      </w:r>
      <w:r>
        <w:br w:type="textWrapping"/>
      </w:r>
      <w:r>
        <w:rPr>
          <w:rStyle w:val="VerbatimChar"/>
        </w:rPr>
        <w:t xml:space="preserve">## W = 6, p-value = 0.7</w:t>
      </w:r>
      <w:r>
        <w:br w:type="textWrapping"/>
      </w:r>
      <w:r>
        <w:rPr>
          <w:rStyle w:val="VerbatimChar"/>
        </w:rPr>
        <w:t xml:space="preserve">## alternative hypothesis: true location shift is not equal to 0</w:t>
      </w:r>
    </w:p>
    <w:p>
      <w:pPr>
        <w:pStyle w:val="FirstParagraph"/>
      </w:pPr>
      <w:r>
        <w:rPr>
          <w:b/>
        </w:rPr>
        <w:t xml:space="preserve">Table 12:</w:t>
      </w:r>
      <w:r>
        <w:t xml:space="preserve"> </w:t>
      </w:r>
      <w:r>
        <w:t xml:space="preserve">The statistical (Wilcox) test of Shannon’s diversity to compare the richness component of diversity between Communal and Individual computer keyboards, positive controls, and negative controls.</w:t>
      </w:r>
    </w:p>
    <w:p>
      <w:pPr>
        <w:pStyle w:val="SourceCode"/>
      </w:pPr>
      <w:r>
        <w:rPr>
          <w:rStyle w:val="VerbatimChar"/>
        </w:rPr>
        <w:t xml:space="preserve">## </w:t>
      </w:r>
      <w:r>
        <w:br w:type="textWrapping"/>
      </w:r>
      <w:r>
        <w:rPr>
          <w:rStyle w:val="VerbatimChar"/>
        </w:rPr>
        <w:t xml:space="preserve">##  Wilcoxon rank sum test</w:t>
      </w:r>
      <w:r>
        <w:br w:type="textWrapping"/>
      </w:r>
      <w:r>
        <w:rPr>
          <w:rStyle w:val="VerbatimChar"/>
        </w:rPr>
        <w:t xml:space="preserve">## </w:t>
      </w:r>
      <w:r>
        <w:br w:type="textWrapping"/>
      </w:r>
      <w:r>
        <w:rPr>
          <w:rStyle w:val="VerbatimChar"/>
        </w:rPr>
        <w:t xml:space="preserve">## data:  jc_simpson_div by jc_group_2</w:t>
      </w:r>
      <w:r>
        <w:br w:type="textWrapping"/>
      </w:r>
      <w:r>
        <w:rPr>
          <w:rStyle w:val="VerbatimChar"/>
        </w:rPr>
        <w:t xml:space="preserve">## W = 6, p-value = 0.7</w:t>
      </w:r>
      <w:r>
        <w:br w:type="textWrapping"/>
      </w:r>
      <w:r>
        <w:rPr>
          <w:rStyle w:val="VerbatimChar"/>
        </w:rPr>
        <w:t xml:space="preserve">## alternative hypothesis: true location shift is not equal to 0</w:t>
      </w:r>
    </w:p>
    <w:p>
      <w:pPr>
        <w:pStyle w:val="FirstParagraph"/>
      </w:pPr>
      <w:r>
        <w:rPr>
          <w:b/>
        </w:rPr>
        <w:t xml:space="preserve">Table 13:</w:t>
      </w:r>
      <w:r>
        <w:t xml:space="preserve"> </w:t>
      </w:r>
      <w:r>
        <w:t xml:space="preserve">The statistical (Wilcox) test of Simpson’s diversity to compare the evenness component of diversity between Communal and Individual computer keyboards, positive controls, and negative controls.</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phylum per sample group using Phyloseq-native analyses.</w:t>
      </w:r>
    </w:p>
    <w:p>
      <w:pPr>
        <w:pStyle w:val="Heading3"/>
      </w:pPr>
      <w:bookmarkStart w:id="64" w:name="using-dplyr-and-ggplot-analyses"/>
      <w:r>
        <w:t xml:space="preserve">Using dplyr and ggplot analyses</w:t>
      </w:r>
      <w:bookmarkEnd w:id="64"/>
    </w:p>
    <w:p>
      <w:pPr>
        <w:pStyle w:val="FirstParagraph"/>
      </w:pPr>
      <w:r>
        <w:t xml:space="preserve">Only looking at the top five abundance values for my samples, it is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summary abundance for each Genus.</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analze the data (Figure 12). This gives me confidence that those three phyla were the most prominent in my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Figure of abundance summary for each Phylum.</w:t>
      </w:r>
    </w:p>
    <w:p>
      <w:pPr>
        <w:pStyle w:val="Heading1"/>
      </w:pPr>
      <w:bookmarkStart w:id="67" w:name="discussion"/>
      <w:r>
        <w:t xml:space="preserve">Discussion</w:t>
      </w:r>
      <w:bookmarkEnd w:id="67"/>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68" w:name="grown-cultures-1"/>
      <w:r>
        <w:t xml:space="preserve">Grown Cultures</w:t>
      </w:r>
      <w:bookmarkEnd w:id="68"/>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69" w:name="touchdown-pcr-for-f-key-series"/>
      <w:r>
        <w:t xml:space="preserve">Touchdown PCR for</w:t>
      </w:r>
      <w:r>
        <w:t xml:space="preserve"> </w:t>
      </w:r>
      <w:r>
        <w:t xml:space="preserve">“</w:t>
      </w:r>
      <w:r>
        <w:t xml:space="preserve">F</w:t>
      </w:r>
      <w:r>
        <w:t xml:space="preserve">”</w:t>
      </w:r>
      <w:r>
        <w:t xml:space="preserve"> </w:t>
      </w:r>
      <w:r>
        <w:t xml:space="preserve">key series</w:t>
      </w:r>
      <w:bookmarkEnd w:id="69"/>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70" w:name="pcr-for-key-a-series"/>
      <w:r>
        <w:t xml:space="preserve">PCR for Key</w:t>
      </w:r>
      <w:r>
        <w:t xml:space="preserve"> </w:t>
      </w:r>
      <w:r>
        <w:t xml:space="preserve">“</w:t>
      </w:r>
      <w:r>
        <w:t xml:space="preserve">A</w:t>
      </w:r>
      <w:r>
        <w:t xml:space="preserve">”</w:t>
      </w:r>
      <w:r>
        <w:t xml:space="preserve"> </w:t>
      </w:r>
      <w:r>
        <w:t xml:space="preserve">Series</w:t>
      </w:r>
      <w:bookmarkEnd w:id="70"/>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71" w:name="gel-electrophoresis-1"/>
      <w:r>
        <w:t xml:space="preserve">Gel Electrophoresis</w:t>
      </w:r>
      <w:bookmarkEnd w:id="71"/>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72" w:name="geneious-prime"/>
      <w:r>
        <w:t xml:space="preserve">Geneious Prime</w:t>
      </w:r>
      <w:bookmarkEnd w:id="72"/>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73" w:name="sequence-relationships"/>
      <w:r>
        <w:t xml:space="preserve">Sequence Relationships</w:t>
      </w:r>
      <w:bookmarkEnd w:id="73"/>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BodyText"/>
      </w:pPr>
      <w:r>
        <w:t xml:space="preserve">I did not find support for my hypothesis.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 of the alpha diversity measures were also not significantly different between sample groups using Shannon and Simpson (Table 12 Wilcox p = 0.7; Table 13 Wilcox p = 0.7). I did, however, find that there was a significant difference in colony abundance on communal keyboards over individual keyboards (Table 1 Wilcox p = 0.02).</w:t>
      </w:r>
    </w:p>
    <w:p>
      <w:pPr>
        <w:pStyle w:val="Heading1"/>
      </w:pPr>
      <w:bookmarkStart w:id="74" w:name="sources-cited"/>
      <w:r>
        <w:t xml:space="preserve">Sources Cited</w:t>
      </w:r>
      <w:bookmarkEnd w:id="74"/>
    </w:p>
    <w:bookmarkStart w:id="96" w:name="refs"/>
    <w:bookmarkStart w:id="75"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5"/>
    <w:bookmarkStart w:id="76"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76"/>
    <w:bookmarkStart w:id="7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77"/>
    <w:bookmarkStart w:id="78"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78"/>
    <w:bookmarkStart w:id="79" w:name="ref-fraser2009bacterial"/>
    <w:p>
      <w:pPr>
        <w:pStyle w:val="Bibliography"/>
      </w:pPr>
      <w:r>
        <w:t xml:space="preserve">Fraser,M. and Girling,S. (2009) Bacterial carriage of computer keyboards in veterinary practices in scotland.</w:t>
      </w:r>
    </w:p>
    <w:bookmarkEnd w:id="79"/>
    <w:bookmarkStart w:id="80"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0"/>
    <w:bookmarkStart w:id="81" w:name="ref-hamzeh2011computer"/>
    <w:p>
      <w:pPr>
        <w:pStyle w:val="Bibliography"/>
      </w:pPr>
      <w:r>
        <w:t xml:space="preserve">Hamzeh,F. and Na’was,T. (2011) Computer mice in public centers: A source of pathogenic bacteria.</w:t>
      </w:r>
    </w:p>
    <w:bookmarkEnd w:id="81"/>
    <w:bookmarkStart w:id="82"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82"/>
    <w:bookmarkStart w:id="83"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83"/>
    <w:bookmarkStart w:id="84"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84"/>
    <w:bookmarkStart w:id="85"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85"/>
    <w:bookmarkStart w:id="86"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86"/>
    <w:bookmarkStart w:id="87"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87"/>
    <w:bookmarkStart w:id="88"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88"/>
    <w:bookmarkStart w:id="89"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9"/>
    <w:bookmarkStart w:id="9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90"/>
    <w:bookmarkStart w:id="9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91"/>
    <w:bookmarkStart w:id="92"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92"/>
    <w:bookmarkStart w:id="93"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93"/>
    <w:bookmarkStart w:id="94"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94"/>
    <w:bookmarkStart w:id="95" w:name="ref-weberextract"/>
    <w:p>
      <w:pPr>
        <w:pStyle w:val="Bibliography"/>
      </w:pPr>
      <w:r>
        <w:t xml:space="preserve">Weber,S. and Douglas,D. Extract-n-amp™ tissue pcr kit: Rapid genomic dna extraction from tissue coupled with pcr.</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2019-11-20T09:52:35Z</dcterms:created>
  <dcterms:modified xsi:type="dcterms:W3CDTF">2019-11-20T09:52:35Z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