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6.png" ContentType="image/png"/>
  <Override PartName="/word/media/rId68.png" ContentType="image/png"/>
  <Override PartName="/word/media/rId67.png" ContentType="image/png"/>
  <Override PartName="/word/media/rId36.png" ContentType="image/png"/>
  <Override PartName="/word/media/rId38.png" ContentType="image/png"/>
  <Override PartName="/word/media/rId60.png" ContentType="image/png"/>
  <Override PartName="/word/media/rId56.png" ContentType="image/png"/>
  <Override PartName="/word/media/rId62.png" ContentType="image/png"/>
  <Override PartName="/word/media/rId65.png" ContentType="image/png"/>
  <Override PartName="/word/media/rId44.png" ContentType="image/png"/>
  <Override PartName="/word/media/rId40.jpg" ContentType="image/jpeg"/>
  <Override PartName="/word/media/rId5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 if there are</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It is also important to put an emphasis on the importance of human contact as it is generally the cause of microbial migration. Human beings carry different types of microbial groups depending on what each body part touches the most frequently. For example, gut and vaginal communities were discovered on toilets</w:t>
      </w:r>
      <w:r>
        <w:t xml:space="preserve"> </w:t>
      </w:r>
      <w:r>
        <w:t xml:space="preserve">(Meadow</w:t>
      </w:r>
      <w:r>
        <w:t xml:space="preserve"> </w:t>
      </w:r>
      <w:r>
        <w:rPr>
          <w:i/>
        </w:rPr>
        <w:t xml:space="preserve">et al.</w:t>
      </w:r>
      <w:r>
        <w:t xml:space="preserve">, 2014)</w:t>
      </w:r>
      <w:r>
        <w:t xml:space="preserve">. The body part that comes into contact with keyboards the most are hands, which are able to access a wide variety of bacterial communities. Unlike the past, today’s society spends a greater amount of time indoors in a built environment, repeatedly in contact with the same surfaces. This allows these same surfaces to accumulate a collection of different microbial organisms associated with humans. Universities are no exception as they make perfect microbial hosts with their large number of inhabitants and numerous communal keyboards</w:t>
      </w:r>
      <w:r>
        <w:t xml:space="preserve"> </w:t>
      </w:r>
      <w:r>
        <w:t xml:space="preserve">(Ross and Neufeld, 2015)</w:t>
      </w:r>
      <w:r>
        <w:t xml:space="preserve">. Not only do humans contribute to the bacteria on objects in built and natural environments, humans also increase the amount of airborne bacterial populations indoors, all possessing a possibility of horizontal gene transfer with non-airborne bacteria</w:t>
      </w:r>
      <w:r>
        <w:t xml:space="preserve"> </w:t>
      </w:r>
      <w:r>
        <w:t xml:space="preserve">(Hospodsky</w:t>
      </w:r>
      <w:r>
        <w:t xml:space="preserve"> </w:t>
      </w:r>
      <w:r>
        <w:rPr>
          <w:i/>
        </w:rPr>
        <w:t xml:space="preserve">et al.</w:t>
      </w:r>
      <w:r>
        <w:t xml:space="preserve">, 2012)</w:t>
      </w:r>
      <w:r>
        <w:t xml:space="preserve">. Since the spread and origin of a large number of bacteria are due to humans, humans should have a responsibility to uphold clean standards in order to minimize the risk of infection.</w:t>
      </w:r>
    </w:p>
    <w:p>
      <w:pPr>
        <w:pStyle w:val="BodyText"/>
      </w:pPr>
      <w:r>
        <w:t xml:space="preserve">My primary question was whether or not the keyboards of individual University of San Francisco’s (USF’s) college students’ laptops from an upper division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The continuous and widespread transfer of bacteria is a dangerous process as it increases the risk of antibiotic resistance and horizontal transfer among bacteria, which is a huge issue since this hinders the progress of disease treatment</w:t>
      </w:r>
      <w:r>
        <w:t xml:space="preserve"> </w:t>
      </w:r>
      <w:r>
        <w:t xml:space="preserve">(Muniesa</w:t>
      </w:r>
      <w:r>
        <w:t xml:space="preserve"> </w:t>
      </w:r>
      <w:r>
        <w:rPr>
          <w:i/>
        </w:rPr>
        <w:t xml:space="preserve">et al.</w:t>
      </w:r>
      <w:r>
        <w:t xml:space="preserve">, 2013)</w:t>
      </w:r>
      <w:r>
        <w:t xml:space="preserve">. In the interest of preventing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aurerus</w:t>
      </w:r>
      <w:r>
        <w:t xml:space="preserve"> </w:t>
      </w:r>
      <w:r>
        <w:t xml:space="preserve">onto patients</w:t>
      </w:r>
      <w:r>
        <w:t xml:space="preserve"> </w:t>
      </w:r>
      <w:r>
        <w:t xml:space="preserve">(Isaacs</w:t>
      </w:r>
      <w:r>
        <w:t xml:space="preserve"> </w:t>
      </w:r>
      <w:r>
        <w:rPr>
          <w:i/>
        </w:rPr>
        <w:t xml:space="preserve">et al.</w:t>
      </w:r>
      <w:r>
        <w:t xml:space="preserve">, 1998)</w:t>
      </w:r>
      <w:r>
        <w:t xml:space="preserve">.</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bacterial samples from three different individual laptops on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from students from USF (University of San Francisco) and three other samples from three public spaces on campus, also on the same keys. The bacteria from the</w:t>
      </w:r>
      <w:r>
        <w:t xml:space="preserve"> </w:t>
      </w:r>
      <w:r>
        <w:t xml:space="preserve">“</w:t>
      </w:r>
      <w:r>
        <w:t xml:space="preserve">F</w:t>
      </w:r>
      <w:r>
        <w:t xml:space="preserve">”</w:t>
      </w:r>
      <w:r>
        <w:t xml:space="preserve"> </w:t>
      </w:r>
      <w:r>
        <w:t xml:space="preserve">key samples were diluted then grown in cultures with their dilutions, where DNA was extracted from them. DNA was extracted directly from the</w:t>
      </w:r>
      <w:r>
        <w:t xml:space="preserve"> </w:t>
      </w:r>
      <w:r>
        <w:t xml:space="preserve">“</w:t>
      </w:r>
      <w:r>
        <w:t xml:space="preserve">A</w:t>
      </w:r>
      <w:r>
        <w:t xml:space="preserve">”</w:t>
      </w:r>
      <w:r>
        <w:t xml:space="preserve"> </w:t>
      </w:r>
      <w:r>
        <w:t xml:space="preserve">key samples. Touchdown PCR was done along with Sanger sequencing for the</w:t>
      </w:r>
      <w:r>
        <w:t xml:space="preserve"> </w:t>
      </w:r>
      <w:r>
        <w:t xml:space="preserve">“</w:t>
      </w:r>
      <w:r>
        <w:t xml:space="preserve">F</w:t>
      </w:r>
      <w:r>
        <w:t xml:space="preserve">”</w:t>
      </w:r>
      <w:r>
        <w:t xml:space="preserve"> </w:t>
      </w:r>
      <w:r>
        <w:t xml:space="preserve">key samples, whose results I analyzed with Geneious Prime and R Studio. Amplicon and Index PCR was done along with Illumina sequencing for the</w:t>
      </w:r>
      <w:r>
        <w:t xml:space="preserve"> </w:t>
      </w:r>
      <w:r>
        <w:t xml:space="preserve">“</w:t>
      </w:r>
      <w:r>
        <w:t xml:space="preserve">A</w:t>
      </w:r>
      <w:r>
        <w:t xml:space="preserve">”</w:t>
      </w:r>
      <w:r>
        <w:t xml:space="preserve"> </w:t>
      </w:r>
      <w:r>
        <w:t xml:space="preserve">key samples, whose results I analyzed with Bash. My primary findings for the cultured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an upper division Bioinformatics class have a greater variety of microbacterial species compared to shared computers on campus from the library, the UC and Toler Hall.</w:t>
      </w:r>
    </w:p>
    <w:p>
      <w:pPr>
        <w:pStyle w:val="BodyText"/>
      </w:pPr>
      <w:r>
        <w:t xml:space="preserve">For the cultured samples, I collected bacteria, diluted the samples, plated the samples on TSA plates, extracted DNA from the samples, did touchdown PCR, gel electrophoresis, and Sanger sequencing. These results were analyzed with Geneious Prime and R Studio. For the culture-free samples, I collected bacteria, extracted DNA, did PCR, gel electrophoresis, PCR again, then Illumina sequencing. These results were analyzed using Bash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twelve tubes were collected. For each location, the</w:t>
      </w:r>
      <w:r>
        <w:t xml:space="preserve"> </w:t>
      </w:r>
      <w:r>
        <w:t xml:space="preserve">“</w:t>
      </w:r>
      <w:r>
        <w:t xml:space="preserve">F</w:t>
      </w:r>
      <w:r>
        <w:t xml:space="preserve">”</w:t>
      </w:r>
      <w:r>
        <w:t xml:space="preserve"> </w:t>
      </w:r>
      <w:r>
        <w:t xml:space="preserve">key and the</w:t>
      </w:r>
      <w:r>
        <w:t xml:space="preserve"> </w:t>
      </w:r>
      <w:r>
        <w:t xml:space="preserve">“</w:t>
      </w:r>
      <w:r>
        <w:t xml:space="preserve">A</w:t>
      </w:r>
      <w:r>
        <w:t xml:space="preserve">”</w:t>
      </w:r>
      <w:r>
        <w:t xml:space="preserve"> </w:t>
      </w:r>
      <w:r>
        <w:t xml:space="preserve">key on the keyboard were swabbed. Each sterile swab was dipped in sterile PBS (Phosphate Buffer Saline at pH 7.4) to moisten, then wrung of excess PBS against the side of the tube. I swabbed each surface for 15 seconds. The tip of the swab was broken off into a labelled eppendorf with initials, date, and an unique sample ID.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owned by three different students (Student A, Student B, and Student C) in the same way as the three previous places. The</w:t>
      </w:r>
      <w:r>
        <w:t xml:space="preserve"> </w:t>
      </w:r>
      <w:r>
        <w:t xml:space="preserve">“</w:t>
      </w:r>
      <w:r>
        <w:t xml:space="preserve">A</w:t>
      </w:r>
      <w:r>
        <w:t xml:space="preserve">”</w:t>
      </w:r>
      <w:r>
        <w:t xml:space="preserve"> </w:t>
      </w:r>
      <w:r>
        <w:t xml:space="preserve">key samples were placed in the freezer at -20</w:t>
      </w:r>
      <w:r>
        <w:rPr>
          <w:vertAlign w:val="superscript"/>
        </w:rPr>
        <w:t xml:space="preserve">o</w:t>
      </w:r>
      <w:r>
        <w:t xml:space="preserve"> </w:t>
      </w:r>
      <w:r>
        <w:t xml:space="preserve">Celsius.</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A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dilutions. Since the type of bacteria was unknown nor how it would grow, it was necessary to dilute the samples in order to maximize the number of environments that the bacteria could possibly grow in. 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cultured-dna-extraction"/>
      <w:r>
        <w:t xml:space="preserve">Cultured 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16 minutes from when the extraction solution was first added, which was under twenty minute mark when the extraction solution would have started to break down the DNA as well. Qubit samples were incubated in the dark because the Qubit fluorometer, which was used to measure the concentration of DNA, is sensitive to the light.</w:t>
      </w:r>
    </w:p>
    <w:p>
      <w:pPr>
        <w:pStyle w:val="Heading2"/>
      </w:pPr>
      <w:bookmarkStart w:id="26" w:name="culture-free-dna-extraction"/>
      <w:r>
        <w:t xml:space="preserve">Culture-Free DNA Extraction</w:t>
      </w:r>
      <w:bookmarkEnd w:id="26"/>
    </w:p>
    <w:p>
      <w:pPr>
        <w:pStyle w:val="FirstParagraph"/>
      </w:pPr>
      <w:r>
        <w:t xml:space="preserve">I followed the manufacturer’s protocol from the Sigma REDExtract-N-Amp kit</w:t>
      </w:r>
      <w:r>
        <w:t xml:space="preserve"> </w:t>
      </w:r>
      <w:r>
        <w:t xml:space="preserve">(Weber and Douglas)</w:t>
      </w:r>
      <w:r>
        <w:t xml:space="preserve">. Extraction solution and dilution solution was added directly into the tube with the swabs from the</w:t>
      </w:r>
      <w:r>
        <w:t xml:space="preserve"> </w:t>
      </w:r>
      <w:r>
        <w:t xml:space="preserve">“</w:t>
      </w:r>
      <w:r>
        <w:t xml:space="preserve">A</w:t>
      </w:r>
      <w:r>
        <w:t xml:space="preserve">”</w:t>
      </w:r>
      <w:r>
        <w:t xml:space="preserve"> </w:t>
      </w:r>
      <w:r>
        <w:t xml:space="preserve">key and then the swab DNA extraction methods were repeated from the cultured DNA extraction. A Qubit fluorometer was used to measure the concentration of DNA.</w:t>
      </w:r>
    </w:p>
    <w:p>
      <w:pPr>
        <w:pStyle w:val="Heading2"/>
      </w:pPr>
      <w:bookmarkStart w:id="27" w:name="touchdown-pcr-for-cultured-key-f-series"/>
      <w:r>
        <w:t xml:space="preserve">Touchdown PCR for Cultured Key</w:t>
      </w:r>
      <w:r>
        <w:t xml:space="preserve"> </w:t>
      </w:r>
      <w:r>
        <w:t xml:space="preserve">“</w:t>
      </w:r>
      <w:r>
        <w:t xml:space="preserve">F</w:t>
      </w:r>
      <w:r>
        <w:t xml:space="preserve">”</w:t>
      </w:r>
      <w:r>
        <w:t xml:space="preserve"> </w:t>
      </w:r>
      <w:r>
        <w:t xml:space="preserve">series</w:t>
      </w:r>
      <w:bookmarkEnd w:id="27"/>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pcr-for-culture-free-key-a-series"/>
      <w:r>
        <w:t xml:space="preserve">PCR for Culture-Free Key</w:t>
      </w:r>
      <w:r>
        <w:t xml:space="preserve"> </w:t>
      </w:r>
      <w:r>
        <w:t xml:space="preserve">“</w:t>
      </w:r>
      <w:r>
        <w:t xml:space="preserve">A</w:t>
      </w:r>
      <w:r>
        <w:t xml:space="preserve">”</w:t>
      </w:r>
      <w:r>
        <w:t xml:space="preserve"> </w:t>
      </w:r>
      <w:r>
        <w:t xml:space="preserve">Series</w:t>
      </w:r>
      <w:bookmarkEnd w:id="28"/>
    </w:p>
    <w:p>
      <w:pPr>
        <w:pStyle w:val="FirstParagraph"/>
      </w:pPr>
      <w:r>
        <w:t xml:space="preserve">For one reaction, I put 10 µL of Amp, 0.8 µL of 10 µL of iSeq 16S forward primer, 0.8 µL of 10 µL of iSeq 16S reverse primer, 1 µL BSA, and 6.4 µL of water. One µL of water was added for the negative control. PCR conditions were 95</w:t>
      </w:r>
      <w:r>
        <w:rPr>
          <w:vertAlign w:val="superscript"/>
        </w:rPr>
        <w:t xml:space="preserve">o</w:t>
      </w:r>
      <w:r>
        <w:t xml:space="preserve"> </w:t>
      </w:r>
      <w:r>
        <w:t xml:space="preserve">C for 30 seconds. Then, they were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for 30 seconds. These last three times were repeated for 25 cycles. After, they were 72</w:t>
      </w:r>
      <w:r>
        <w:rPr>
          <w:vertAlign w:val="superscript"/>
        </w:rPr>
        <w:t xml:space="preserve">o</w:t>
      </w:r>
      <w:r>
        <w:t xml:space="preserve"> </w:t>
      </w:r>
      <w:r>
        <w:t xml:space="preserve">C for 5 minutes then held at 4</w:t>
      </w:r>
      <w:r>
        <w:rPr>
          <w:vertAlign w:val="superscript"/>
        </w:rPr>
        <w:t xml:space="preserve">o</w:t>
      </w:r>
      <w:r>
        <w:t xml:space="preserve"> </w:t>
      </w:r>
      <w:r>
        <w:t xml:space="preserve">C. One µL of the sample and 199 µL of buffer were combined for the Qubit fluorometer, which was used to check if there was enough DNA concentration for the later PCRs. The electrophoresis gel was made with 2% agarose, SYBR safe dye, 1x TAE buffer and was run at 140 V for 30 minutes. An Ez load 1 kb Molecular Ruler was added to the first and last wells of both lines of wells in the gel. In this gel, 4 µL of each product, including the negative control, was added. Successful amplifications were checked using gel electrophoresis.</w:t>
      </w:r>
    </w:p>
    <w:p>
      <w:pPr>
        <w:pStyle w:val="BodyText"/>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w:t>
      </w:r>
      <w:r>
        <w:rPr>
          <w:vertAlign w:val="superscript"/>
        </w:rPr>
        <w:t xml:space="preserve">o</w:t>
      </w:r>
      <w:r>
        <w:t xml:space="preserve"> </w:t>
      </w:r>
      <w:r>
        <w:t xml:space="preserve">C for 3 minutes, then 8 cycles of: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and 72</w:t>
      </w:r>
      <w:r>
        <w:rPr>
          <w:vertAlign w:val="superscript"/>
        </w:rPr>
        <w:t xml:space="preserve">o</w:t>
      </w:r>
      <w:r>
        <w:t xml:space="preserve"> </w:t>
      </w:r>
      <w:r>
        <w:t xml:space="preserve">C for 30 seconds, followed by a 5 minute elongation cycle at 72</w:t>
      </w:r>
      <w:r>
        <w:rPr>
          <w:vertAlign w:val="superscript"/>
        </w:rPr>
        <w:t xml:space="preserve">o</w:t>
      </w:r>
      <w:r>
        <w:t xml:space="preserve"> </w:t>
      </w:r>
      <w:r>
        <w:t xml:space="preserve">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 Positive (ZymoBIOMICS Microbial Community DNA standard) and negative controls (sterile molecular grade reagent water) were added to the Illumina iSeq.</w:t>
      </w:r>
    </w:p>
    <w:p>
      <w:pPr>
        <w:pStyle w:val="Heading2"/>
      </w:pPr>
      <w:bookmarkStart w:id="29" w:name="analysis"/>
      <w:r>
        <w:t xml:space="preserve">Analysis</w:t>
      </w:r>
      <w:bookmarkEnd w:id="29"/>
    </w:p>
    <w:p>
      <w:pPr>
        <w:pStyle w:val="Heading3"/>
      </w:pPr>
      <w:bookmarkStart w:id="30" w:name="molecular-data-analysis"/>
      <w:r>
        <w:t xml:space="preserve">Molecular Data Analysis</w:t>
      </w:r>
      <w:bookmarkEnd w:id="30"/>
    </w:p>
    <w:p>
      <w:pPr>
        <w:pStyle w:val="FirstParagraph"/>
      </w:pPr>
      <w:r>
        <w:t xml:space="preserve">My first task was to assess whether or not the sequences were usable. I used Geneious Prime (version 2019.2.3) to trim or correct usable sequences. This was done by trimming off a large part of the beginning and ending of the sequences (since they were filled with either low quality or unusable bases) and going through the low quality bases in the middle of the sequence to decide whether or not they should be deleted, changed, or an ambiguity code needed to be added from the IUPAC Ambiguity Codes. I used MAFFT to create an appropriate multiple sequence alignment with all five of my usable and corrected sequences with the default settings and an offset value of 0.123</w:t>
      </w:r>
      <w:r>
        <w:t xml:space="preserve"> </w:t>
      </w:r>
      <w:r>
        <w:t xml:space="preserve">(Katoh</w:t>
      </w:r>
      <w:r>
        <w:t xml:space="preserve"> </w:t>
      </w:r>
      <w:r>
        <w:rPr>
          <w:i/>
        </w:rPr>
        <w:t xml:space="preserve">et al.</w:t>
      </w:r>
      <w:r>
        <w:t xml:space="preserve">, 2009)</w:t>
      </w:r>
      <w:r>
        <w:t xml:space="preserve">. A Maximum Likelihood Phylogeny and a Bayesian Phylogeny were created using</w:t>
      </w:r>
      <w:r>
        <w:t xml:space="preserve"> </w:t>
      </w:r>
      <w:r>
        <w:rPr>
          <w:i/>
        </w:rPr>
        <w:t xml:space="preserve">Thermus aquaticus</w:t>
      </w:r>
      <w:r>
        <w:t xml:space="preserve"> </w:t>
      </w:r>
      <w:r>
        <w:t xml:space="preserve">(NR 025900.1) as an outgroup by downloading the sequence from GenBank</w:t>
      </w:r>
      <w:r>
        <w:t xml:space="preserve"> </w:t>
      </w:r>
      <w:r>
        <w:t xml:space="preserve">(Guindon</w:t>
      </w:r>
      <w:r>
        <w:t xml:space="preserve"> </w:t>
      </w:r>
      <w:r>
        <w:rPr>
          <w:i/>
        </w:rPr>
        <w:t xml:space="preserve">et al.</w:t>
      </w:r>
      <w:r>
        <w:t xml:space="preserve">, 2005; Huelsenbeck and Ronquist, 2001)</w:t>
      </w:r>
      <w:r>
        <w:t xml:space="preserve">.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 by comparing my nucleotide sequences to the sequence databases, where it also calculated the statistical significance of the match</w:t>
      </w:r>
      <w:r>
        <w:t xml:space="preserve"> </w:t>
      </w:r>
      <w:r>
        <w:t xml:space="preserve">(Johnson</w:t>
      </w:r>
      <w:r>
        <w:t xml:space="preserve"> </w:t>
      </w:r>
      <w:r>
        <w:rPr>
          <w:i/>
        </w:rPr>
        <w:t xml:space="preserve">et al.</w:t>
      </w:r>
      <w:r>
        <w:t xml:space="preserve">, 2008)</w:t>
      </w:r>
      <w:r>
        <w:t xml:space="preserve">.</w:t>
      </w:r>
    </w:p>
    <w:p>
      <w:pPr>
        <w:pStyle w:val="Heading3"/>
      </w:pPr>
      <w:bookmarkStart w:id="31" w:name="bash"/>
      <w:r>
        <w:t xml:space="preserve">Bash</w:t>
      </w:r>
      <w:bookmarkEnd w:id="31"/>
    </w:p>
    <w:p>
      <w:pPr>
        <w:pStyle w:val="FirstParagraph"/>
      </w:pPr>
      <w:r>
        <w:t xml:space="preserve">I ran fastqc on the unzipped Illumina sequence files in order to check the sequence quality for each sample. Then, trimmomatic was run in order to trim low quality sequences or throw out bad sequences (SLIDINGWINDOW:8:25 MINLEN: 140). Bioawk was used to convert fastqc files into fasta files, the format required for BLAST. I ran BLAST against the local database to find the closest matched sequence for every sequence in my fasta files: 1A-6A. BLAST was also run against the local database for the positive and negative controls. I also discovered the number of species per sample and what those species were.</w:t>
      </w:r>
    </w:p>
    <w:p>
      <w:pPr>
        <w:pStyle w:val="Heading3"/>
      </w:pPr>
      <w:bookmarkStart w:id="32" w:name="r-studio"/>
      <w:r>
        <w:t xml:space="preserve">R Studio</w:t>
      </w:r>
      <w:bookmarkEnd w:id="32"/>
    </w:p>
    <w:p>
      <w:pPr>
        <w:pStyle w:val="FirstParagraph"/>
      </w:pPr>
      <w:r>
        <w:t xml:space="preserve">I used the packages dplyr and ggplot in order to visualize the data with boxplots. I also tested between different sampling groups using Wilcox statistical tests in order to get the p values. Tidyr was used to create tidy data. Readr made reading csv files easier.</w:t>
      </w:r>
    </w:p>
    <w:p>
      <w:pPr>
        <w:pStyle w:val="BodyText"/>
      </w:pPr>
      <w:r>
        <w:t xml:space="preserve">In order to generate my R-based results, a DADA analysis pipeline was used. The packages lubridate, vegan, dada2, phyloseq, and seqinr were also used. The package dada2 was used to clean and analyze the data. Phyloseq was used to visualize the data. Lubridate made it easier to work with times and dates. Seqinr was used to export a fasta of the final denoised sequence variants.</w:t>
      </w:r>
    </w:p>
    <w:p>
      <w:pPr>
        <w:pStyle w:val="BodyText"/>
      </w:pPr>
      <w:r>
        <w:t xml:space="preserve">The fastq sample names were extracted and the full path to the forward reads were specified. The quality profiles of the first 14 samples were plotted. In order to trim the sequences, a couple of steps were carried out. The command</w:t>
      </w:r>
      <w:r>
        <w:t xml:space="preserve"> </w:t>
      </w:r>
      <w:r>
        <w:t xml:space="preserve">“</w:t>
      </w:r>
      <w:r>
        <w:t xml:space="preserve">filterAndTrim</w:t>
      </w:r>
      <w:r>
        <w:t xml:space="preserve">”</w:t>
      </w:r>
      <w:r>
        <w:t xml:space="preserve"> </w:t>
      </w:r>
      <w:r>
        <w:t xml:space="preserve">were used to discard any sequences with N’s, allow up to three expected errors, and cut off the sequences if the quality gets too low. Error models were built from each of the trimmed samples using</w:t>
      </w:r>
      <w:r>
        <w:t xml:space="preserve"> </w:t>
      </w:r>
      <w:r>
        <w:t xml:space="preserve">“</w:t>
      </w:r>
      <w:r>
        <w:t xml:space="preserve">learnErrors</w:t>
      </w:r>
      <w:r>
        <w:t xml:space="preserve">”</w:t>
      </w:r>
      <w:r>
        <w:t xml:space="preserve">, then were checked to see if they matched the data. Any duplicated sequences were disposed of with</w:t>
      </w:r>
      <w:r>
        <w:t xml:space="preserve"> </w:t>
      </w:r>
      <w:r>
        <w:t xml:space="preserve">“</w:t>
      </w:r>
      <w:r>
        <w:t xml:space="preserve">derepFastq</w:t>
      </w:r>
      <w:r>
        <w:t xml:space="preserve">”</w:t>
      </w:r>
      <w:r>
        <w:t xml:space="preserve"> </w:t>
      </w:r>
      <w:r>
        <w:t xml:space="preserve">and the remaining files were extracted and named. The dereplicated forward reads and error model were used to create a</w:t>
      </w:r>
      <w:r>
        <w:t xml:space="preserve"> </w:t>
      </w:r>
      <w:r>
        <w:t xml:space="preserve">“</w:t>
      </w:r>
      <w:r>
        <w:t xml:space="preserve">true</w:t>
      </w:r>
      <w:r>
        <w:t xml:space="preserve">”</w:t>
      </w:r>
      <w:r>
        <w:t xml:space="preserve"> </w:t>
      </w:r>
      <w:r>
        <w:t xml:space="preserve">list of sequences. The dada results were checked, then used to produce the</w:t>
      </w:r>
      <w:r>
        <w:t xml:space="preserve"> </w:t>
      </w:r>
      <w:r>
        <w:t xml:space="preserve">“</w:t>
      </w:r>
      <w:r>
        <w:t xml:space="preserve">site by species matrix</w:t>
      </w:r>
      <w:r>
        <w:t xml:space="preserve">”</w:t>
      </w:r>
      <w:r>
        <w:t xml:space="preserve"> </w:t>
      </w:r>
      <w:r>
        <w:t xml:space="preserve">(Callahan</w:t>
      </w:r>
      <w:r>
        <w:t xml:space="preserve"> </w:t>
      </w:r>
      <w:r>
        <w:rPr>
          <w:i/>
        </w:rPr>
        <w:t xml:space="preserve">et al.</w:t>
      </w:r>
      <w:r>
        <w:t xml:space="preserve">, 2016)</w:t>
      </w:r>
      <w:r>
        <w:t xml:space="preserve">. A quick check ensued to look at the distribution of trimmed and denoised sequences to check they were appropriately long. The function</w:t>
      </w:r>
      <w:r>
        <w:t xml:space="preserve"> </w:t>
      </w:r>
      <w:r>
        <w:t xml:space="preserve">“</w:t>
      </w:r>
      <w:r>
        <w:t xml:space="preserve">removeBimeraDenovo</w:t>
      </w:r>
      <w:r>
        <w:t xml:space="preserve">”</w:t>
      </w:r>
      <w:r>
        <w:t xml:space="preserve"> </w:t>
      </w:r>
      <w:r>
        <w:t xml:space="preserve">checked for and removed chimeras, which were hybrid PCRs that contained two templates. The percentage of non-chimeric reads was calculated and a table was built showing how many sequences remained. Any sequences shorter than 50 bp were removed because taxonomy could not be assigned. Taxonomy was then assigned with</w:t>
      </w:r>
      <w:r>
        <w:t xml:space="preserve"> </w:t>
      </w:r>
      <w:r>
        <w:t xml:space="preserve">“</w:t>
      </w:r>
      <w:r>
        <w:t xml:space="preserve">assignTaxonomy</w:t>
      </w:r>
      <w:r>
        <w:t xml:space="preserve">”</w:t>
      </w:r>
      <w:r>
        <w:t xml:space="preserve"> </w:t>
      </w:r>
      <w:r>
        <w:t xml:space="preserve">to each sequence variant based on a supplied training set made up of known sequences. These results were then used with phyloseq to construct phyloseq object</w:t>
      </w:r>
      <w:r>
        <w:t xml:space="preserve"> </w:t>
      </w:r>
      <w:r>
        <w:t xml:space="preserve">(McMurdie and Holmes, 2013)</w:t>
      </w:r>
      <w:r>
        <w:t xml:space="preserve">.</w:t>
      </w:r>
    </w:p>
    <w:p>
      <w:pPr>
        <w:pStyle w:val="BodyText"/>
      </w:pPr>
      <w:r>
        <w:t xml:space="preserve">The otu table was read in from the saved phyloseq object so the data frame could be converted to a matrix in order to be transposed (orienting samples as rows). The package vegan was used to do a Wilcox test on Shannon alpha diversity metrics and create a rarefaction curve. Phyloseq was used to plot alpha diversity metrics and a barplot of the taxa while dplyr and ggplot melted phyloseq object into a data frame for analysis and visualization to create summary tables of the sequence counts and abundance summary for each Phylum.</w:t>
      </w:r>
    </w:p>
    <w:p>
      <w:pPr>
        <w:pStyle w:val="Heading1"/>
      </w:pPr>
      <w:bookmarkStart w:id="33" w:name="results"/>
      <w:r>
        <w:t xml:space="preserve">Results</w:t>
      </w:r>
      <w:bookmarkEnd w:id="33"/>
    </w:p>
    <w:p>
      <w:pPr>
        <w:pStyle w:val="Heading2"/>
      </w:pPr>
      <w:bookmarkStart w:id="34" w:name="culture-data"/>
      <w:r>
        <w:t xml:space="preserve">Culture Data</w:t>
      </w:r>
      <w:bookmarkEnd w:id="34"/>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5" w:name="colony-abundance"/>
      <w:r>
        <w:t xml:space="preserve">Colony Abundance</w:t>
      </w:r>
      <w:bookmarkEnd w:id="35"/>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 A statistical (Wilcox) test was run to compare the number of colony abundances of Communal versus Individual computers at 1x dilution. The mean number of colonies between Communal and Individual computers were significantly different (Table 1 Wilcox p = 0.02).</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Heading3"/>
      </w:pPr>
      <w:bookmarkStart w:id="37" w:name="morphotypes"/>
      <w:r>
        <w:t xml:space="preserve">Morphotypes</w:t>
      </w:r>
      <w:bookmarkEnd w:id="37"/>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 The mean number of morphotypes between Communal and Individual computer keyboards were not significantly different (Table 2 Wilcox p = 0.1). This was the result of a statistical test to compare the number of morphotypes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 keyboards, 1x dilution. The mean number of morphotypes were not significantly different between sample groups (Wilcox p = 0.09679).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Heading3"/>
      </w:pPr>
      <w:bookmarkStart w:id="39" w:name="grown-cultures"/>
      <w:r>
        <w:t xml:space="preserve">Grown Cultures</w:t>
      </w:r>
      <w:bookmarkEnd w:id="39"/>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p>
      <w:pPr>
        <w:pStyle w:val="Heading2"/>
      </w:pPr>
      <w:bookmarkStart w:id="41" w:name="molecular-data"/>
      <w:r>
        <w:t xml:space="preserve">Molecular Data</w:t>
      </w:r>
      <w:bookmarkEnd w:id="41"/>
    </w:p>
    <w:p>
      <w:pPr>
        <w:pStyle w:val="Heading3"/>
      </w:pPr>
      <w:bookmarkStart w:id="42" w:name="qubit-dna-extraction"/>
      <w:r>
        <w:t xml:space="preserve">Qubit DNA extraction</w:t>
      </w:r>
      <w:bookmarkEnd w:id="42"/>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Heading3"/>
      </w:pPr>
      <w:bookmarkStart w:id="43" w:name="gel-electrophoresis"/>
      <w:r>
        <w:t xml:space="preserve">Gel Electrophoresis</w:t>
      </w:r>
      <w:bookmarkEnd w:id="43"/>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44"/>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p>
      <w:pPr>
        <w:pStyle w:val="Heading3"/>
      </w:pPr>
      <w:bookmarkStart w:id="45" w:name="sequence-usability-table"/>
      <w:r>
        <w:t xml:space="preserve">Sequence Usability Table</w:t>
      </w:r>
      <w:bookmarkEnd w:id="45"/>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p>
      <w:pPr>
        <w:pStyle w:val="Heading3"/>
      </w:pPr>
      <w:bookmarkStart w:id="46" w:name="blast-table"/>
      <w:r>
        <w:t xml:space="preserve">BLAST Table</w:t>
      </w:r>
      <w:bookmarkEnd w:id="46"/>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Heading3"/>
      </w:pPr>
      <w:bookmarkStart w:id="47" w:name="maximum-likelihood-phylogeny-with-phyml"/>
      <w:r>
        <w:t xml:space="preserve">Maximum Likelihood Phylogeny with PhyML</w:t>
      </w:r>
      <w:bookmarkEnd w:id="47"/>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Heading3"/>
      </w:pPr>
      <w:bookmarkStart w:id="49" w:name="bayesian-phylogeny-with-mr.-bayes"/>
      <w:r>
        <w:t xml:space="preserve">Bayesian Phylogeny with Mr. Bayes</w:t>
      </w:r>
      <w:bookmarkEnd w:id="49"/>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p>
      <w:pPr>
        <w:pStyle w:val="Heading2"/>
      </w:pPr>
      <w:bookmarkStart w:id="51" w:name="culture-free-molecular-data"/>
      <w:r>
        <w:t xml:space="preserve">Culture Free Molecular Data</w:t>
      </w:r>
      <w:bookmarkEnd w:id="51"/>
    </w:p>
    <w:p>
      <w:pPr>
        <w:pStyle w:val="Heading3"/>
      </w:pPr>
      <w:bookmarkStart w:id="52" w:name="qubit-dna-extraction-1"/>
      <w:r>
        <w:t xml:space="preserve">Qubit DNA extraction</w:t>
      </w:r>
      <w:bookmarkEnd w:id="52"/>
    </w:p>
    <w:p>
      <w:pPr>
        <w:pStyle w:val="FirstParagraph"/>
      </w:pPr>
      <w:r>
        <w:t xml:space="preserve">The measured Qubit numbers of the DNA extractions from the</w:t>
      </w:r>
      <w:r>
        <w:t xml:space="preserve"> </w:t>
      </w:r>
      <w:r>
        <w:t xml:space="preserve">“</w:t>
      </w:r>
      <w:r>
        <w:t xml:space="preserve">A</w:t>
      </w:r>
      <w:r>
        <w:t xml:space="preserve">”</w:t>
      </w:r>
      <w:r>
        <w:t xml:space="preserve"> </w:t>
      </w:r>
      <w:r>
        <w:t xml:space="preserve">key culture samples had sufficient concentrations of DNA in order to ensure that I had enough DNA to amplify in PCR, a later step. All of my samples showed that they had a sufficient amount of DNA from the Qubit numbers, which were all above 5 ng/µL (Table 6).</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5.37</w:t>
            </w:r>
          </w:p>
        </w:tc>
      </w:tr>
      <w:tr>
        <w:tc>
          <w:p>
            <w:pPr>
              <w:pStyle w:val="Compact"/>
              <w:jc w:val="left"/>
            </w:pPr>
            <w:r>
              <w:t xml:space="preserve">2A</w:t>
            </w:r>
          </w:p>
        </w:tc>
        <w:tc>
          <w:p>
            <w:pPr>
              <w:pStyle w:val="Compact"/>
              <w:jc w:val="left"/>
            </w:pPr>
            <w:r>
              <w:t xml:space="preserve">6.73</w:t>
            </w:r>
          </w:p>
        </w:tc>
      </w:tr>
      <w:tr>
        <w:tc>
          <w:p>
            <w:pPr>
              <w:pStyle w:val="Compact"/>
              <w:jc w:val="left"/>
            </w:pPr>
            <w:r>
              <w:t xml:space="preserve">3A</w:t>
            </w:r>
          </w:p>
        </w:tc>
        <w:tc>
          <w:p>
            <w:pPr>
              <w:pStyle w:val="Compact"/>
              <w:jc w:val="left"/>
            </w:pPr>
            <w:r>
              <w:t xml:space="preserve">5.95</w:t>
            </w:r>
          </w:p>
        </w:tc>
      </w:tr>
      <w:tr>
        <w:tc>
          <w:p>
            <w:pPr>
              <w:pStyle w:val="Compact"/>
              <w:jc w:val="left"/>
            </w:pPr>
            <w:r>
              <w:t xml:space="preserve">4A</w:t>
            </w:r>
          </w:p>
        </w:tc>
        <w:tc>
          <w:p>
            <w:pPr>
              <w:pStyle w:val="Compact"/>
              <w:jc w:val="left"/>
            </w:pPr>
            <w:r>
              <w:t xml:space="preserve">6.50</w:t>
            </w:r>
          </w:p>
        </w:tc>
      </w:tr>
      <w:tr>
        <w:tc>
          <w:p>
            <w:pPr>
              <w:pStyle w:val="Compact"/>
              <w:jc w:val="left"/>
            </w:pPr>
            <w:r>
              <w:t xml:space="preserve">5A</w:t>
            </w:r>
          </w:p>
        </w:tc>
        <w:tc>
          <w:p>
            <w:pPr>
              <w:pStyle w:val="Compact"/>
              <w:jc w:val="left"/>
            </w:pPr>
            <w:r>
              <w:t xml:space="preserve">5.50</w:t>
            </w:r>
          </w:p>
        </w:tc>
      </w:tr>
      <w:tr>
        <w:tc>
          <w:p>
            <w:pPr>
              <w:pStyle w:val="Compact"/>
              <w:jc w:val="left"/>
            </w:pPr>
            <w:r>
              <w:t xml:space="preserve">6A</w:t>
            </w:r>
          </w:p>
        </w:tc>
        <w:tc>
          <w:p>
            <w:pPr>
              <w:pStyle w:val="Compact"/>
              <w:jc w:val="left"/>
            </w:pPr>
            <w:r>
              <w:t xml:space="preserve">5.96</w:t>
            </w:r>
          </w:p>
        </w:tc>
      </w:tr>
    </w:tbl>
    <w:p>
      <w:pPr>
        <w:pStyle w:val="BodyText"/>
      </w:pPr>
      <w:r>
        <w:rPr>
          <w:b/>
        </w:rPr>
        <w:t xml:space="preserve">Table 6:</w:t>
      </w:r>
      <w:r>
        <w:t xml:space="preserve"> </w:t>
      </w:r>
      <w:r>
        <w:t xml:space="preserve">Table of Qubit DNA extraction samples of Key</w:t>
      </w:r>
      <w:r>
        <w:t xml:space="preserve"> </w:t>
      </w:r>
      <w:r>
        <w:t xml:space="preserve">“</w:t>
      </w:r>
      <w:r>
        <w:t xml:space="preserve">A</w:t>
      </w:r>
      <w:r>
        <w:t xml:space="preserve">”</w:t>
      </w:r>
      <w:r>
        <w:t xml:space="preserve"> </w:t>
      </w:r>
      <w:r>
        <w:t xml:space="preserve">series (culture-free).</w:t>
      </w:r>
    </w:p>
    <w:p>
      <w:pPr>
        <w:pStyle w:val="Heading3"/>
      </w:pPr>
      <w:bookmarkStart w:id="53" w:name="qubit-right-before-gel-electrophoresis"/>
      <w:r>
        <w:t xml:space="preserve">Qubit Right Before Gel Electrophoresis</w:t>
      </w:r>
      <w:bookmarkEnd w:id="53"/>
    </w:p>
    <w:p>
      <w:pPr>
        <w:pStyle w:val="FirstParagraph"/>
      </w:pPr>
      <w:r>
        <w:t xml:space="preserve">The measured Qubit numbers of the</w:t>
      </w:r>
      <w:r>
        <w:t xml:space="preserve"> </w:t>
      </w:r>
      <w:r>
        <w:t xml:space="preserve">“</w:t>
      </w:r>
      <w:r>
        <w:t xml:space="preserve">A</w:t>
      </w:r>
      <w:r>
        <w:t xml:space="preserve">”</w:t>
      </w:r>
      <w:r>
        <w:t xml:space="preserve"> </w:t>
      </w:r>
      <w:r>
        <w:t xml:space="preserve">key samples right before gel electrophoresis had sufficient concentrations of DNA in order to ensure I had enough DNA to amplify in another PCR step (Table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4.00</w:t>
            </w:r>
          </w:p>
        </w:tc>
      </w:tr>
      <w:tr>
        <w:tc>
          <w:p>
            <w:pPr>
              <w:pStyle w:val="Compact"/>
              <w:jc w:val="left"/>
            </w:pPr>
            <w:r>
              <w:t xml:space="preserve">2A</w:t>
            </w:r>
          </w:p>
        </w:tc>
        <w:tc>
          <w:p>
            <w:pPr>
              <w:pStyle w:val="Compact"/>
              <w:jc w:val="left"/>
            </w:pPr>
            <w:r>
              <w:t xml:space="preserve">4.56</w:t>
            </w:r>
          </w:p>
        </w:tc>
      </w:tr>
      <w:tr>
        <w:tc>
          <w:p>
            <w:pPr>
              <w:pStyle w:val="Compact"/>
              <w:jc w:val="left"/>
            </w:pPr>
            <w:r>
              <w:t xml:space="preserve">3A</w:t>
            </w:r>
          </w:p>
        </w:tc>
        <w:tc>
          <w:p>
            <w:pPr>
              <w:pStyle w:val="Compact"/>
              <w:jc w:val="left"/>
            </w:pPr>
            <w:r>
              <w:t xml:space="preserve">4.54</w:t>
            </w:r>
          </w:p>
        </w:tc>
      </w:tr>
      <w:tr>
        <w:tc>
          <w:p>
            <w:pPr>
              <w:pStyle w:val="Compact"/>
              <w:jc w:val="left"/>
            </w:pPr>
            <w:r>
              <w:t xml:space="preserve">4A</w:t>
            </w:r>
          </w:p>
        </w:tc>
        <w:tc>
          <w:p>
            <w:pPr>
              <w:pStyle w:val="Compact"/>
              <w:jc w:val="left"/>
            </w:pPr>
            <w:r>
              <w:t xml:space="preserve">4.74</w:t>
            </w:r>
          </w:p>
        </w:tc>
      </w:tr>
      <w:tr>
        <w:tc>
          <w:p>
            <w:pPr>
              <w:pStyle w:val="Compact"/>
              <w:jc w:val="left"/>
            </w:pPr>
            <w:r>
              <w:t xml:space="preserve">5A</w:t>
            </w:r>
          </w:p>
        </w:tc>
        <w:tc>
          <w:p>
            <w:pPr>
              <w:pStyle w:val="Compact"/>
              <w:jc w:val="left"/>
            </w:pPr>
            <w:r>
              <w:t xml:space="preserve">4.58</w:t>
            </w:r>
          </w:p>
        </w:tc>
      </w:tr>
      <w:tr>
        <w:tc>
          <w:p>
            <w:pPr>
              <w:pStyle w:val="Compact"/>
              <w:jc w:val="left"/>
            </w:pPr>
            <w:r>
              <w:t xml:space="preserve">6A</w:t>
            </w:r>
          </w:p>
        </w:tc>
        <w:tc>
          <w:p>
            <w:pPr>
              <w:pStyle w:val="Compact"/>
              <w:jc w:val="left"/>
            </w:pPr>
            <w:r>
              <w:t xml:space="preserve">4.14</w:t>
            </w:r>
          </w:p>
        </w:tc>
      </w:tr>
      <w:tr>
        <w:tc>
          <w:p>
            <w:pPr>
              <w:pStyle w:val="Compact"/>
              <w:jc w:val="left"/>
            </w:pPr>
            <w:r>
              <w:t xml:space="preserve">Neg. Control</w:t>
            </w:r>
          </w:p>
        </w:tc>
        <w:tc>
          <w:p>
            <w:pPr>
              <w:pStyle w:val="Compact"/>
              <w:jc w:val="left"/>
            </w:pPr>
            <w:r>
              <w:t xml:space="preserve">3.62</w:t>
            </w:r>
          </w:p>
        </w:tc>
      </w:tr>
    </w:tbl>
    <w:p>
      <w:pPr>
        <w:pStyle w:val="BodyText"/>
      </w:pPr>
      <w:r>
        <w:rPr>
          <w:b/>
        </w:rPr>
        <w:t xml:space="preserve">Table 7:</w:t>
      </w:r>
      <w:r>
        <w:t xml:space="preserve"> </w:t>
      </w:r>
      <w:r>
        <w:t xml:space="preserve">Table of Qubit samples of Key</w:t>
      </w:r>
      <w:r>
        <w:t xml:space="preserve"> </w:t>
      </w:r>
      <w:r>
        <w:t xml:space="preserve">“</w:t>
      </w:r>
      <w:r>
        <w:t xml:space="preserve">A</w:t>
      </w:r>
      <w:r>
        <w:t xml:space="preserve">”</w:t>
      </w:r>
      <w:r>
        <w:t xml:space="preserve"> </w:t>
      </w:r>
      <w:r>
        <w:t xml:space="preserve">series (culture-free) right before gel electrophoresis.</w:t>
      </w:r>
    </w:p>
    <w:p>
      <w:pPr>
        <w:pStyle w:val="Heading3"/>
      </w:pPr>
      <w:bookmarkStart w:id="54" w:name="trimmed-sequences"/>
      <w:r>
        <w:t xml:space="preserve">Trimmed Sequences</w:t>
      </w:r>
      <w:bookmarkEnd w:id="54"/>
    </w:p>
    <w:p>
      <w:pPr>
        <w:pStyle w:val="FirstParagraph"/>
      </w:pPr>
      <w:r>
        <w:t xml:space="preserve">Based on the fastqc reports, the sequence quality of my samples were very good and did not require much trimming. All of the unusable nucleotides were trimmed with Trimmomatic, leaving the entirety of my samples surviving with over 92% of the sequence intact (Table 8).</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Surviving %</w:t>
            </w:r>
          </w:p>
        </w:tc>
        <w:tc>
          <w:tcPr>
            <w:tcBorders>
              <w:bottom w:val="single"/>
            </w:tcBorders>
            <w:vAlign w:val="bottom"/>
          </w:tcPr>
          <w:p>
            <w:pPr>
              <w:pStyle w:val="Compact"/>
              <w:jc w:val="left"/>
            </w:pPr>
            <w:r>
              <w:t xml:space="preserve">Dropped %</w:t>
            </w:r>
          </w:p>
        </w:tc>
      </w:tr>
      <w:tr>
        <w:tc>
          <w:p>
            <w:pPr>
              <w:pStyle w:val="Compact"/>
              <w:jc w:val="left"/>
            </w:pPr>
            <w:r>
              <w:t xml:space="preserve">1A</w:t>
            </w:r>
          </w:p>
        </w:tc>
        <w:tc>
          <w:p>
            <w:pPr>
              <w:pStyle w:val="Compact"/>
              <w:jc w:val="left"/>
            </w:pPr>
            <w:r>
              <w:t xml:space="preserve">95.16</w:t>
            </w:r>
          </w:p>
        </w:tc>
        <w:tc>
          <w:p>
            <w:pPr>
              <w:pStyle w:val="Compact"/>
              <w:jc w:val="left"/>
            </w:pPr>
            <w:r>
              <w:t xml:space="preserve">4.84</w:t>
            </w:r>
          </w:p>
        </w:tc>
      </w:tr>
      <w:tr>
        <w:tc>
          <w:p>
            <w:pPr>
              <w:pStyle w:val="Compact"/>
              <w:jc w:val="left"/>
            </w:pPr>
            <w:r>
              <w:t xml:space="preserve">2A</w:t>
            </w:r>
          </w:p>
        </w:tc>
        <w:tc>
          <w:p>
            <w:pPr>
              <w:pStyle w:val="Compact"/>
              <w:jc w:val="left"/>
            </w:pPr>
            <w:r>
              <w:t xml:space="preserve">95.54</w:t>
            </w:r>
          </w:p>
        </w:tc>
        <w:tc>
          <w:p>
            <w:pPr>
              <w:pStyle w:val="Compact"/>
              <w:jc w:val="left"/>
            </w:pPr>
            <w:r>
              <w:t xml:space="preserve">4.46</w:t>
            </w:r>
          </w:p>
        </w:tc>
      </w:tr>
      <w:tr>
        <w:tc>
          <w:p>
            <w:pPr>
              <w:pStyle w:val="Compact"/>
              <w:jc w:val="left"/>
            </w:pPr>
            <w:r>
              <w:t xml:space="preserve">3A</w:t>
            </w:r>
          </w:p>
        </w:tc>
        <w:tc>
          <w:p>
            <w:pPr>
              <w:pStyle w:val="Compact"/>
              <w:jc w:val="left"/>
            </w:pPr>
            <w:r>
              <w:t xml:space="preserve">95.43</w:t>
            </w:r>
          </w:p>
        </w:tc>
        <w:tc>
          <w:p>
            <w:pPr>
              <w:pStyle w:val="Compact"/>
              <w:jc w:val="left"/>
            </w:pPr>
            <w:r>
              <w:t xml:space="preserve">4.57</w:t>
            </w:r>
          </w:p>
        </w:tc>
      </w:tr>
      <w:tr>
        <w:tc>
          <w:p>
            <w:pPr>
              <w:pStyle w:val="Compact"/>
              <w:jc w:val="left"/>
            </w:pPr>
            <w:r>
              <w:t xml:space="preserve">4A</w:t>
            </w:r>
          </w:p>
        </w:tc>
        <w:tc>
          <w:p>
            <w:pPr>
              <w:pStyle w:val="Compact"/>
              <w:jc w:val="left"/>
            </w:pPr>
            <w:r>
              <w:t xml:space="preserve">92.90</w:t>
            </w:r>
          </w:p>
        </w:tc>
        <w:tc>
          <w:p>
            <w:pPr>
              <w:pStyle w:val="Compact"/>
              <w:jc w:val="left"/>
            </w:pPr>
            <w:r>
              <w:t xml:space="preserve">7.10</w:t>
            </w:r>
          </w:p>
        </w:tc>
      </w:tr>
      <w:tr>
        <w:tc>
          <w:p>
            <w:pPr>
              <w:pStyle w:val="Compact"/>
              <w:jc w:val="left"/>
            </w:pPr>
            <w:r>
              <w:t xml:space="preserve">5A</w:t>
            </w:r>
          </w:p>
        </w:tc>
        <w:tc>
          <w:p>
            <w:pPr>
              <w:pStyle w:val="Compact"/>
              <w:jc w:val="left"/>
            </w:pPr>
            <w:r>
              <w:t xml:space="preserve">95.58</w:t>
            </w:r>
          </w:p>
        </w:tc>
        <w:tc>
          <w:p>
            <w:pPr>
              <w:pStyle w:val="Compact"/>
              <w:jc w:val="left"/>
            </w:pPr>
            <w:r>
              <w:t xml:space="preserve">4.42</w:t>
            </w:r>
          </w:p>
        </w:tc>
      </w:tr>
      <w:tr>
        <w:tc>
          <w:p>
            <w:pPr>
              <w:pStyle w:val="Compact"/>
              <w:jc w:val="left"/>
            </w:pPr>
            <w:r>
              <w:t xml:space="preserve">6A</w:t>
            </w:r>
          </w:p>
        </w:tc>
        <w:tc>
          <w:p>
            <w:pPr>
              <w:pStyle w:val="Compact"/>
              <w:jc w:val="left"/>
            </w:pPr>
            <w:r>
              <w:t xml:space="preserve">95.01</w:t>
            </w:r>
          </w:p>
        </w:tc>
        <w:tc>
          <w:p>
            <w:pPr>
              <w:pStyle w:val="Compact"/>
              <w:jc w:val="left"/>
            </w:pPr>
            <w:r>
              <w:t xml:space="preserve">4.99</w:t>
            </w:r>
          </w:p>
        </w:tc>
      </w:tr>
    </w:tbl>
    <w:p>
      <w:pPr>
        <w:pStyle w:val="BodyText"/>
      </w:pPr>
      <w:r>
        <w:rPr>
          <w:b/>
        </w:rPr>
        <w:t xml:space="preserve">Table 8:</w:t>
      </w:r>
      <w:r>
        <w:t xml:space="preserve"> </w:t>
      </w:r>
      <w:r>
        <w:t xml:space="preserve">Table of the percentage of surviving and dropped sequences for all six samples after trimming.</w:t>
      </w:r>
    </w:p>
    <w:p>
      <w:pPr>
        <w:pStyle w:val="Heading3"/>
      </w:pPr>
      <w:bookmarkStart w:id="55" w:name="number-of-species-per-sample"/>
      <w:r>
        <w:t xml:space="preserve">Number of Species per Sample</w:t>
      </w:r>
      <w:bookmarkEnd w:id="55"/>
    </w:p>
    <w:p>
      <w:pPr>
        <w:pStyle w:val="FirstParagraph"/>
      </w:pPr>
      <w:r>
        <w:t xml:space="preserve">I made a boxplot showing the number of different species in Communal versus Individual computer keyboards (Figure 7). Both Communal and Individual computer keyboards had no outliers. The mean number of different species between Communal and Individual computer keyboards were not significantly different (Table 8 Wilcox p = 0.7). This was the result of a statistical test to compare the number of different species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number-of-specie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showing the number of different species between Communal and Individual samples. The mean number of different species were not significantly different between sample groups (Table 9 Wilcox p = 0.7).</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0.7</w:t>
            </w:r>
          </w:p>
        </w:tc>
        <w:tc>
          <w:p>
            <w:pPr>
              <w:pStyle w:val="Compact"/>
              <w:jc w:val="left"/>
            </w:pPr>
            <w:r>
              <w:t xml:space="preserve">Wilcoxon rank sum test</w:t>
            </w:r>
          </w:p>
        </w:tc>
        <w:tc>
          <w:p>
            <w:pPr>
              <w:pStyle w:val="Compact"/>
              <w:jc w:val="left"/>
            </w:pPr>
            <w:r>
              <w:t xml:space="preserve">two.sided</w:t>
            </w:r>
          </w:p>
        </w:tc>
      </w:tr>
    </w:tbl>
    <w:p>
      <w:pPr>
        <w:pStyle w:val="BodyText"/>
      </w:pPr>
      <w:r>
        <w:rPr>
          <w:b/>
        </w:rPr>
        <w:t xml:space="preserve">Table 9:</w:t>
      </w:r>
      <w:r>
        <w:t xml:space="preserve"> </w:t>
      </w:r>
      <w:r>
        <w:t xml:space="preserve">The statistical (Wilcox) test to compare the number of different species between Communal and Individual computer keyboards.</w:t>
      </w:r>
    </w:p>
    <w:p>
      <w:pPr>
        <w:pStyle w:val="Heading3"/>
      </w:pPr>
      <w:bookmarkStart w:id="57" w:name="X3ea9c091fcc32703ed673bd30bf8dd1e1f7f864"/>
      <w:r>
        <w:t xml:space="preserve">Finding BLAST species from Cultured Data in Culture-Free Data</w:t>
      </w:r>
      <w:bookmarkEnd w:id="57"/>
    </w:p>
    <w:p>
      <w:pPr>
        <w:pStyle w:val="FirstParagraph"/>
      </w:pPr>
      <w:r>
        <w:t xml:space="preserve">I discovered that the majority of the Cultured BLAST species were found in the Culture-Free BLAST results (Table 10).</w:t>
      </w:r>
      <w:r>
        <w:t xml:space="preserve"> </w:t>
      </w:r>
      <w:r>
        <w:rPr>
          <w:i/>
        </w:rPr>
        <w:t xml:space="preserve">Staphylococcus hominis</w:t>
      </w:r>
      <w:r>
        <w:t xml:space="preserve"> </w:t>
      </w:r>
      <w:r>
        <w:t xml:space="preserve">was the only species that was not found in the Culture-Free BLAST results for Sample 2A (Table 10). Since no culture was grown for Sample 4A, there was nothing to compare with the Culture-Free BLAST results (Table 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Cultured BLAST</w:t>
            </w:r>
          </w:p>
        </w:tc>
        <w:tc>
          <w:tcPr>
            <w:tcBorders>
              <w:bottom w:val="single"/>
            </w:tcBorders>
            <w:vAlign w:val="bottom"/>
          </w:tcPr>
          <w:p>
            <w:pPr>
              <w:pStyle w:val="Compact"/>
              <w:jc w:val="left"/>
            </w:pPr>
            <w:r>
              <w:t xml:space="preserve">Culture-Free BLAST</w:t>
            </w:r>
          </w:p>
        </w:tc>
      </w:tr>
      <w:tr>
        <w:tc>
          <w:p>
            <w:pPr>
              <w:pStyle w:val="Compact"/>
              <w:jc w:val="left"/>
            </w:pPr>
            <w:r>
              <w:t xml:space="preserve">1A</w:t>
            </w:r>
          </w:p>
        </w:tc>
        <w:tc>
          <w:p>
            <w:pPr>
              <w:pStyle w:val="Compact"/>
              <w:jc w:val="left"/>
            </w:pPr>
            <w:r>
              <w:rPr>
                <w:i/>
              </w:rPr>
              <w:t xml:space="preserve">Staphylococcus epidermidis</w:t>
            </w:r>
          </w:p>
        </w:tc>
        <w:tc>
          <w:p>
            <w:pPr>
              <w:pStyle w:val="Compact"/>
              <w:jc w:val="left"/>
            </w:pPr>
            <w:r>
              <w:t xml:space="preserve">Found</w:t>
            </w:r>
          </w:p>
        </w:tc>
      </w:tr>
      <w:tr>
        <w:tc>
          <w:p>
            <w:pPr>
              <w:pStyle w:val="Compact"/>
              <w:jc w:val="left"/>
            </w:pPr>
            <w:r>
              <w:t xml:space="preserve">2A</w:t>
            </w:r>
          </w:p>
        </w:tc>
        <w:tc>
          <w:p>
            <w:pPr>
              <w:pStyle w:val="Compact"/>
              <w:jc w:val="left"/>
            </w:pPr>
            <w:r>
              <w:rPr>
                <w:i/>
              </w:rPr>
              <w:t xml:space="preserve">Staphylococcus hominis</w:t>
            </w:r>
          </w:p>
        </w:tc>
        <w:tc>
          <w:p>
            <w:pPr>
              <w:pStyle w:val="Compact"/>
              <w:jc w:val="left"/>
            </w:pPr>
            <w:r>
              <w:t xml:space="preserve">Not Found</w:t>
            </w:r>
          </w:p>
        </w:tc>
      </w:tr>
      <w:tr>
        <w:tc>
          <w:p>
            <w:pPr>
              <w:pStyle w:val="Compact"/>
              <w:jc w:val="left"/>
            </w:pPr>
            <w:r>
              <w:t xml:space="preserve">3A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4A</w:t>
            </w:r>
          </w:p>
        </w:tc>
        <w:tc>
          <w:p>
            <w:pPr>
              <w:pStyle w:val="Compact"/>
              <w:jc w:val="left"/>
            </w:pPr>
            <w:r>
              <w:t xml:space="preserve">N/A</w:t>
            </w:r>
          </w:p>
        </w:tc>
        <w:tc>
          <w:p>
            <w:pPr>
              <w:pStyle w:val="Compact"/>
              <w:jc w:val="left"/>
            </w:pPr>
            <w:r>
              <w:t xml:space="preserve">N/A</w:t>
            </w:r>
          </w:p>
        </w:tc>
      </w:tr>
      <w:tr>
        <w:tc>
          <w:p>
            <w:pPr>
              <w:pStyle w:val="Compact"/>
              <w:jc w:val="left"/>
            </w:pPr>
            <w:r>
              <w:t xml:space="preserve">5A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6A</w:t>
            </w:r>
          </w:p>
        </w:tc>
        <w:tc>
          <w:p>
            <w:pPr>
              <w:pStyle w:val="Compact"/>
              <w:jc w:val="left"/>
            </w:pPr>
            <w:r>
              <w:rPr>
                <w:i/>
              </w:rPr>
              <w:t xml:space="preserve">Staphylococcus epidermidis</w:t>
            </w:r>
          </w:p>
        </w:tc>
        <w:tc>
          <w:p>
            <w:pPr>
              <w:pStyle w:val="Compact"/>
              <w:jc w:val="left"/>
            </w:pPr>
            <w:r>
              <w:t xml:space="preserve">Found</w:t>
            </w:r>
          </w:p>
        </w:tc>
      </w:tr>
    </w:tbl>
    <w:p>
      <w:pPr>
        <w:pStyle w:val="BodyText"/>
      </w:pPr>
      <w:r>
        <w:rPr>
          <w:b/>
        </w:rPr>
        <w:t xml:space="preserve">Table 10:</w:t>
      </w:r>
      <w:r>
        <w:t xml:space="preserve"> </w:t>
      </w:r>
      <w:r>
        <w:t xml:space="preserve">Table matching the species in the Cultured BLAST to the Culture-Free BLAST data.</w:t>
      </w:r>
    </w:p>
    <w:p>
      <w:pPr>
        <w:pStyle w:val="Heading3"/>
      </w:pPr>
      <w:bookmarkStart w:id="58" w:name="blast-table-for-control-samples"/>
      <w:r>
        <w:t xml:space="preserve">BLAST Table for Control Samples</w:t>
      </w:r>
      <w:bookmarkEnd w:id="58"/>
    </w:p>
    <w:p>
      <w:pPr>
        <w:pStyle w:val="FirstParagraph"/>
      </w:pPr>
      <w:r>
        <w:t xml:space="preserve">It was found that the most abundant and the second most abundant species found for the positive controls were all the same:</w:t>
      </w:r>
      <w:r>
        <w:t xml:space="preserve"> </w:t>
      </w:r>
      <w:r>
        <w:rPr>
          <w:i/>
        </w:rPr>
        <w:t xml:space="preserve">Salmonella enterica</w:t>
      </w:r>
      <w:r>
        <w:t xml:space="preserve"> </w:t>
      </w:r>
      <w:r>
        <w:t xml:space="preserve">subsp.</w:t>
      </w:r>
      <w:r>
        <w:t xml:space="preserve"> </w:t>
      </w:r>
      <w:r>
        <w:rPr>
          <w:i/>
        </w:rPr>
        <w:t xml:space="preserve">enterica serovar Indiana</w:t>
      </w:r>
      <w:r>
        <w:t xml:space="preserve"> </w:t>
      </w:r>
      <w:r>
        <w:t xml:space="preserve">and</w:t>
      </w:r>
      <w:r>
        <w:t xml:space="preserve"> </w:t>
      </w:r>
      <w:r>
        <w:rPr>
          <w:i/>
        </w:rPr>
        <w:t xml:space="preserve">Listeria monocytogenes</w:t>
      </w:r>
      <w:r>
        <w:t xml:space="preserve"> </w:t>
      </w:r>
      <w:r>
        <w:t xml:space="preserve">(Table 11). The negative controls obtained a variety of the second most abundant species (Table 11). I also searched for</w:t>
      </w:r>
      <w:r>
        <w:t xml:space="preserve"> </w:t>
      </w:r>
      <w:r>
        <w:rPr>
          <w:i/>
        </w:rPr>
        <w:t xml:space="preserve">Escherichia coli</w:t>
      </w:r>
      <w:r>
        <w:t xml:space="preserve"> </w:t>
      </w:r>
      <w:r>
        <w:t xml:space="preserve">and</w:t>
      </w:r>
      <w:r>
        <w:t xml:space="preserve"> </w:t>
      </w:r>
      <w:r>
        <w:rPr>
          <w:i/>
        </w:rPr>
        <w:t xml:space="preserve">Haemophilus parainfluenzae</w:t>
      </w:r>
      <w:r>
        <w:t xml:space="preserve">, which were found in the negative controls, in my samples 1A-6A. However, they were not present in samples 1A-6A.</w:t>
      </w:r>
    </w:p>
    <w:tbl>
      <w:tblPr>
        <w:tblStyle w:val="Table"/>
        <w:tblW w:type="pct" w:w="5000.0"/>
        <w:tblLook w:firstRow="1"/>
      </w:tblPr>
      <w:tblGrid>
        <w:gridCol w:w="1889"/>
        <w:gridCol w:w="3851"/>
        <w:gridCol w:w="2179"/>
      </w:tblGrid>
      <w:tr>
        <w:trPr>
          <w:cnfStyle w:firstRow="1"/>
        </w:trPr>
        <w:tc>
          <w:tcPr>
            <w:tcBorders>
              <w:bottom w:val="single"/>
            </w:tcBorders>
            <w:vAlign w:val="bottom"/>
          </w:tcPr>
          <w:p>
            <w:pPr>
              <w:pStyle w:val="Compact"/>
              <w:jc w:val="left"/>
            </w:pPr>
            <w:r>
              <w:t xml:space="preserve">Sample Groups</w:t>
            </w:r>
          </w:p>
        </w:tc>
        <w:tc>
          <w:tcPr>
            <w:tcBorders>
              <w:bottom w:val="single"/>
            </w:tcBorders>
            <w:vAlign w:val="bottom"/>
          </w:tcPr>
          <w:p>
            <w:pPr>
              <w:pStyle w:val="Compact"/>
              <w:jc w:val="left"/>
            </w:pPr>
            <w:r>
              <w:t xml:space="preserve">Most Abundant Species</w:t>
            </w:r>
          </w:p>
        </w:tc>
        <w:tc>
          <w:tcPr>
            <w:tcBorders>
              <w:bottom w:val="single"/>
            </w:tcBorders>
            <w:vAlign w:val="bottom"/>
          </w:tcPr>
          <w:p>
            <w:pPr>
              <w:pStyle w:val="Compact"/>
              <w:jc w:val="left"/>
            </w:pPr>
            <w:r>
              <w:t xml:space="preserve">Second Most Abundant Species</w:t>
            </w:r>
          </w:p>
        </w:tc>
      </w:tr>
      <w:tr>
        <w:tc>
          <w:p>
            <w:pPr>
              <w:pStyle w:val="Compact"/>
              <w:jc w:val="left"/>
            </w:pPr>
            <w:r>
              <w:t xml:space="preserve">Positive Control (zymo1)</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(zymo2)</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(zymo3)</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(zymo4)</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Negative Control 1</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2</w:t>
            </w:r>
          </w:p>
        </w:tc>
        <w:tc>
          <w:p>
            <w:pPr>
              <w:pStyle w:val="Compact"/>
              <w:jc w:val="left"/>
            </w:pPr>
            <w:r>
              <w:rPr>
                <w:i/>
              </w:rPr>
              <w:t xml:space="preserve">Acinetobacter tandoii</w:t>
            </w:r>
          </w:p>
        </w:tc>
        <w:tc>
          <w:p>
            <w:pPr>
              <w:pStyle w:val="Compact"/>
              <w:jc w:val="left"/>
            </w:pPr>
            <w:r>
              <w:rPr>
                <w:i/>
              </w:rPr>
              <w:t xml:space="preserve">Micrococcus</w:t>
            </w:r>
            <w:r>
              <w:t xml:space="preserve"> </w:t>
            </w:r>
            <w:r>
              <w:t xml:space="preserve">sp.</w:t>
            </w:r>
          </w:p>
        </w:tc>
      </w:tr>
      <w:tr>
        <w:tc>
          <w:p>
            <w:pPr>
              <w:pStyle w:val="Compact"/>
              <w:jc w:val="left"/>
            </w:pPr>
            <w:r>
              <w:t xml:space="preserve">Negative Control 3</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4</w:t>
            </w:r>
          </w:p>
        </w:tc>
        <w:tc>
          <w:p>
            <w:pPr>
              <w:pStyle w:val="Compact"/>
              <w:jc w:val="left"/>
            </w:pPr>
            <w:r>
              <w:rPr>
                <w:i/>
              </w:rPr>
              <w:t xml:space="preserve">Acinetobacter tandoii</w:t>
            </w:r>
          </w:p>
        </w:tc>
        <w:tc>
          <w:p>
            <w:pPr>
              <w:pStyle w:val="Compact"/>
              <w:jc w:val="left"/>
            </w:pPr>
            <w:r>
              <w:rPr>
                <w:i/>
              </w:rPr>
              <w:t xml:space="preserve">Haemophilus parainfluenzae</w:t>
            </w:r>
          </w:p>
        </w:tc>
      </w:tr>
    </w:tbl>
    <w:p>
      <w:pPr>
        <w:pStyle w:val="BodyText"/>
      </w:pPr>
      <w:r>
        <w:rPr>
          <w:b/>
        </w:rPr>
        <w:t xml:space="preserve">Table 11:</w:t>
      </w:r>
      <w:r>
        <w:t xml:space="preserve"> </w:t>
      </w:r>
      <w:r>
        <w:t xml:space="preserve">BLAST Table of the most abundant and second-most abundant species in the positive (from ZymoBIOMICS Microbial Community DNA standard) and negative controls (sterile molecular grade reagent water).</w:t>
      </w:r>
    </w:p>
    <w:p>
      <w:pPr>
        <w:pStyle w:val="Heading2"/>
      </w:pPr>
      <w:bookmarkStart w:id="59" w:name="culture-free-r-program-figurestables"/>
      <w:r>
        <w:t xml:space="preserve">Culture-Free R program figures/tables</w:t>
      </w:r>
      <w:bookmarkEnd w:id="59"/>
    </w:p>
    <w:p>
      <w:pPr>
        <w:pStyle w:val="FirstParagraph"/>
      </w:pPr>
      <w:r>
        <w:t xml:space="preserve">A rarefaction curve is the relationship between the sample size and the discovery of new species in the sequences. I feel confident that I completely sampled the communities in the samples and the controls because all of the curves asymtoted (Figure 8). All of my samples had over 9,000 base pairs, which was well over where the curves asympototed (Figure 8).</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make-a-rarefaction-curve-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Rarefaction curve of samples (1A-6A) and controls.</w:t>
      </w:r>
    </w:p>
    <w:p>
      <w:pPr>
        <w:pStyle w:val="Heading3"/>
      </w:pPr>
      <w:bookmarkStart w:id="61" w:name="using-phyloseq-native-analyses"/>
      <w:r>
        <w:t xml:space="preserve">Using Phyloseq-native Analyses</w:t>
      </w:r>
      <w:bookmarkEnd w:id="61"/>
    </w:p>
    <w:p>
      <w:pPr>
        <w:pStyle w:val="FirstParagraph"/>
      </w:pPr>
      <w:r>
        <w:t xml:space="preserve">As a popular means to quantify composition, Shannon’s index (which highlights the richness component of diversity) and Simpson’s index (emphasizing the evenness component) work together to depict the response variation to changes in richness and evenness</w:t>
      </w:r>
      <w:r>
        <w:t xml:space="preserve"> </w:t>
      </w:r>
      <w:r>
        <w:t xml:space="preserve">(Nagendra, 2002)</w:t>
      </w:r>
      <w:r>
        <w:t xml:space="preserve">. In both Shannon’s and Simpson’s diversity values, the median alpha diversity measure for the samples were greater than the medians of the controls, meaning that my samples had greater richness and evenness in comparison to the positive and negative controls (Figure 9). The mean number of the alpha diversity measures were not significantly different between sample groups for Shannon and Simpson (Table 12 Wilcox p = 0.7; Table 13 Wilcox p = 0.7).</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and-simpson-diversity-figure-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Boxplot of Shannon alpha diversity metrics according to sample type. The mean number of the alpha diversity measures were not significantly different between sample groups for Shannon and Simpson (Table 12 Wilcox p = 0.7; Table 13 Wilcox p = 0.7).</w:t>
      </w:r>
    </w:p>
    <w:p>
      <w:pPr>
        <w:pStyle w:val="BodyText"/>
      </w:pPr>
      <w:r>
        <w:t xml:space="preserve">Many of the phylum were unknown, especially in the Communal samples (Figure 10). The majority of the phylum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These three phyla were also found in the negative controls, which was very surprising (Figure 10). The positive controls contained no unknown phylum, which was expected (Figure 10).</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of-taxa-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Barplot of the variety of phylum per sample group using Phyloseq-native analyses.</w:t>
      </w:r>
    </w:p>
    <w:p>
      <w:pPr>
        <w:pStyle w:val="Heading3"/>
      </w:pPr>
      <w:bookmarkStart w:id="64" w:name="using-dplyr-and-ggplot-analyses"/>
      <w:r>
        <w:t xml:space="preserve">Using dplyr and ggplot analyses</w:t>
      </w:r>
      <w:bookmarkEnd w:id="64"/>
    </w:p>
    <w:p>
      <w:pPr>
        <w:pStyle w:val="FirstParagraph"/>
      </w:pPr>
      <w:r>
        <w:t xml:space="preserve">Only looking at the top five abundance values for my samples, it is clear that the majority of genera are unknown (Figure 11). The top five genera that were found in my samples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w:t>
      </w:r>
      <w:r>
        <w:t xml:space="preserve"> </w:t>
      </w:r>
      <w:r>
        <w:rPr>
          <w:i/>
        </w:rPr>
        <w:t xml:space="preserve">Bacillus</w:t>
      </w:r>
      <w:r>
        <w:t xml:space="preserve">, and</w:t>
      </w:r>
      <w:r>
        <w:t xml:space="preserve"> </w:t>
      </w:r>
      <w:r>
        <w:rPr>
          <w:i/>
        </w:rPr>
        <w:t xml:space="preserve">Staphylococcus</w:t>
      </w:r>
      <w:r>
        <w:t xml:space="preserve"> </w:t>
      </w:r>
      <w:r>
        <w:t xml:space="preserve">found in the cultured BLAST data (Figure 11; Table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bargraph-of-abundance-summary-for-Genus-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Summary boxplot of sum abundance summary for the top five genera.</w:t>
      </w:r>
    </w:p>
    <w:p>
      <w:pPr>
        <w:pStyle w:val="BodyText"/>
      </w:pPr>
      <w:r>
        <w:t xml:space="preserve">Filtering out only my samples using dplyr and ggplot, the three most abundant phyla outside of the unknown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which agrees with Figure 10, which used phyloseq to analze the data (Figure 12). This gives me confidence that those three phyla were the most prominent in my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Bar graph of sum abundance summary for each Phylum.</w:t>
      </w:r>
    </w:p>
    <w:p>
      <w:pPr>
        <w:pStyle w:val="BodyText"/>
      </w:pPr>
      <w:r>
        <w:t xml:space="preserve">Looking at the three most prominent phyla sorted by sample group: there was a greater mean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were more</w:t>
      </w:r>
      <w:r>
        <w:t xml:space="preserve"> </w:t>
      </w:r>
      <w:r>
        <w:rPr>
          <w:i/>
        </w:rPr>
        <w:t xml:space="preserve">Firmicutes</w:t>
      </w:r>
      <w:r>
        <w:t xml:space="preserve"> </w:t>
      </w:r>
      <w:r>
        <w:t xml:space="preserve">(Figure 13).</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mean-abundance-summary-per-Phylum-per-sample-group-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r>
        <w:t xml:space="preserve"> </w:t>
      </w:r>
      <w:r>
        <w:t xml:space="preserve">Bar graph of mean abundance summary for each Phylum per sample group.</w:t>
      </w:r>
    </w:p>
    <w:p>
      <w:pPr>
        <w:pStyle w:val="BodyText"/>
      </w:pPr>
      <w:r>
        <w:t xml:space="preserve">Looking at the three most prominent phyla sorted by sample group: there was a greater sum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were more</w:t>
      </w:r>
      <w:r>
        <w:t xml:space="preserve"> </w:t>
      </w:r>
      <w:r>
        <w:rPr>
          <w:i/>
        </w:rPr>
        <w:t xml:space="preserve">Firmicutes</w:t>
      </w:r>
      <w:r>
        <w:t xml:space="preserve"> </w:t>
      </w:r>
      <w:r>
        <w:t xml:space="preserve">(Figure 14). Since the distribution of the sum abundances and the mean abundances were similar, it proves that there were only small differences between sample sequences.</w:t>
      </w:r>
      <w:r>
        <w:t xml:space="preserve"> </w:t>
      </w:r>
      <w:r>
        <w:t xml:space="preserve">That also means that my data does not include any extreme outliers, which is favorable.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per-sample-group-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r>
        <w:t xml:space="preserve"> </w:t>
      </w:r>
      <w:r>
        <w:t xml:space="preserve">Bar graph of sum abundance summary for each Phylum per sample group.</w:t>
      </w:r>
    </w:p>
    <w:p>
      <w:pPr>
        <w:pStyle w:val="Heading1"/>
      </w:pPr>
      <w:bookmarkStart w:id="69" w:name="discussion"/>
      <w:r>
        <w:t xml:space="preserve">Discussion</w:t>
      </w:r>
      <w:bookmarkEnd w:id="69"/>
    </w:p>
    <w:p>
      <w:pPr>
        <w:pStyle w:val="FirstParagraph"/>
      </w:pPr>
      <w:r>
        <w:t xml:space="preserve">My primary question was whether or not the keyboards of Individual USF college students’ laptops from an upper division Bioinformatics class have more or less microbacterial species compared to Shared computers on campus from the library, the UC and Toler Hall. I hypothesized that the keyboards of shared computers have more microbacterial species than individual keyboards because of the increased number of people (students, faculty, staff, etc.) that have access to the keyboard. My primary findings for the culture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2"/>
      </w:pPr>
      <w:bookmarkStart w:id="70" w:name="grown-cultures-1"/>
      <w:r>
        <w:t xml:space="preserve">Grown Cultures</w:t>
      </w:r>
      <w:bookmarkEnd w:id="70"/>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cultures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71" w:name="touchdown-pcr-for-f-key-series"/>
      <w:r>
        <w:t xml:space="preserve">Touchdown PCR for</w:t>
      </w:r>
      <w:r>
        <w:t xml:space="preserve"> </w:t>
      </w:r>
      <w:r>
        <w:t xml:space="preserve">“</w:t>
      </w:r>
      <w:r>
        <w:t xml:space="preserve">F</w:t>
      </w:r>
      <w:r>
        <w:t xml:space="preserve">”</w:t>
      </w:r>
      <w:r>
        <w:t xml:space="preserve"> </w:t>
      </w:r>
      <w:r>
        <w:t xml:space="preserve">key series</w:t>
      </w:r>
      <w:bookmarkEnd w:id="71"/>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72" w:name="pcr-for-key-a-series"/>
      <w:r>
        <w:t xml:space="preserve">PCR for Key</w:t>
      </w:r>
      <w:r>
        <w:t xml:space="preserve"> </w:t>
      </w:r>
      <w:r>
        <w:t xml:space="preserve">“</w:t>
      </w:r>
      <w:r>
        <w:t xml:space="preserve">A</w:t>
      </w:r>
      <w:r>
        <w:t xml:space="preserve">”</w:t>
      </w:r>
      <w:r>
        <w:t xml:space="preserve"> </w:t>
      </w:r>
      <w:r>
        <w:t xml:space="preserve">Series</w:t>
      </w:r>
      <w:bookmarkEnd w:id="72"/>
    </w:p>
    <w:p>
      <w:pPr>
        <w:pStyle w:val="FirstParagraph"/>
      </w:pPr>
      <w:r>
        <w:t xml:space="preserve">The PCR for the culture-free samples was not touchdown PCR and was only half the time of the PCR for the cultured samples. There was no need to be selective since all of the sequences had the same primer.</w:t>
      </w:r>
    </w:p>
    <w:p>
      <w:pPr>
        <w:pStyle w:val="Heading2"/>
      </w:pPr>
      <w:bookmarkStart w:id="73" w:name="gel-electrophoresis-1"/>
      <w:r>
        <w:t xml:space="preserve">Gel Electrophoresis</w:t>
      </w:r>
      <w:bookmarkEnd w:id="73"/>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74" w:name="geneious-prime"/>
      <w:r>
        <w:t xml:space="preserve">Geneious Prime</w:t>
      </w:r>
      <w:bookmarkEnd w:id="74"/>
    </w:p>
    <w:p>
      <w:pPr>
        <w:pStyle w:val="FirstParagraph"/>
      </w:pPr>
      <w:r>
        <w:t xml:space="preserve">The sequence 6Fo was not usable possibly either because there the DNA was low quality, an incorrect amount of DNA template was used, mixed templates were sequenced, or I used the wrong the primer.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75" w:name="sequence-relationships"/>
      <w:r>
        <w:t xml:space="preserve">Sequence Relationships</w:t>
      </w:r>
      <w:bookmarkEnd w:id="75"/>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was</w:t>
      </w:r>
      <w:r>
        <w:t xml:space="preserve"> </w:t>
      </w:r>
      <w:r>
        <w:rPr>
          <w:i/>
        </w:rPr>
        <w:t xml:space="preserve">Bacillus subtilis</w:t>
      </w:r>
      <w:r>
        <w:t xml:space="preserve">, 5F was</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w:t>
      </w:r>
    </w:p>
    <w:p>
      <w:pPr>
        <w:pStyle w:val="BodyText"/>
      </w:pPr>
      <w:r>
        <w:t xml:space="preserve">I expected the Sanger-sequenced cultured BLAST species to be found in the Illumina-sequenced culture-free BLAST species because Illumina sequencing amplifies everything while Sanger sequencing only amplifies one cultured colony. However, that was not the case (Table 10). Some reasons as to why this happened could be because I sampled the</w:t>
      </w:r>
      <w:r>
        <w:t xml:space="preserve"> </w:t>
      </w:r>
      <w:r>
        <w:t xml:space="preserve">“</w:t>
      </w:r>
      <w:r>
        <w:t xml:space="preserve">F</w:t>
      </w:r>
      <w:r>
        <w:t xml:space="preserve">”</w:t>
      </w:r>
      <w:r>
        <w:t xml:space="preserve"> </w:t>
      </w:r>
      <w:r>
        <w:t xml:space="preserve">key for Sanger sequencing and the</w:t>
      </w:r>
      <w:r>
        <w:t xml:space="preserve"> </w:t>
      </w:r>
      <w:r>
        <w:t xml:space="preserve">“</w:t>
      </w:r>
      <w:r>
        <w:t xml:space="preserve">A</w:t>
      </w:r>
      <w:r>
        <w:t xml:space="preserve">”</w:t>
      </w:r>
      <w:r>
        <w:t xml:space="preserve"> </w:t>
      </w:r>
      <w:r>
        <w:t xml:space="preserve">key for Illumina sequencing, which are not correlated with each other besides being located on the left side of the keyboard. For future follow-up experiments, I could either sample two keys that are both vowels, all which are heavily used, or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which are both finger placeholders.</w:t>
      </w:r>
    </w:p>
    <w:p>
      <w:pPr>
        <w:pStyle w:val="BodyText"/>
      </w:pPr>
      <w:r>
        <w:t xml:space="preserve">The top five genera that were found in my samples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w:t>
      </w:r>
      <w:r>
        <w:t xml:space="preserve"> </w:t>
      </w:r>
      <w:r>
        <w:rPr>
          <w:i/>
        </w:rPr>
        <w:t xml:space="preserve">Bacillus</w:t>
      </w:r>
      <w:r>
        <w:t xml:space="preserve">, and</w:t>
      </w:r>
      <w:r>
        <w:t xml:space="preserve"> </w:t>
      </w:r>
      <w:r>
        <w:rPr>
          <w:i/>
        </w:rPr>
        <w:t xml:space="preserve">Staphylococcus</w:t>
      </w:r>
      <w:r>
        <w:t xml:space="preserve"> </w:t>
      </w:r>
      <w:r>
        <w:t xml:space="preserve">found in the cultured BLAST data (Figure 11; Table 5). The genus</w:t>
      </w:r>
      <w:r>
        <w:t xml:space="preserve"> </w:t>
      </w:r>
      <w:r>
        <w:rPr>
          <w:i/>
        </w:rPr>
        <w:t xml:space="preserve">Propionibacterium</w:t>
      </w:r>
      <w:r>
        <w:t xml:space="preserve"> </w:t>
      </w:r>
      <w:r>
        <w:t xml:space="preserve">is mainly associated with acne development</w:t>
      </w:r>
      <w:r>
        <w:t xml:space="preserve"> </w:t>
      </w:r>
      <w:r>
        <w:t xml:space="preserve">(Bojar and Holland, 2004)</w:t>
      </w:r>
      <w:r>
        <w:t xml:space="preserve">. In the recent past, antibiotics against acnes caused by this genus have become less effective with the increasing amount of strains that are becoming resistant.</w:t>
      </w:r>
      <w:r>
        <w:t xml:space="preserve"> </w:t>
      </w:r>
      <w:r>
        <w:rPr>
          <w:i/>
        </w:rPr>
        <w:t xml:space="preserve">Propionibacterium</w:t>
      </w:r>
      <w:r>
        <w:t xml:space="preserve"> </w:t>
      </w:r>
      <w:r>
        <w:t xml:space="preserve">are also found commonly on normal human skin. For future experiments, it would be interesting to test the keyboards of different age groups to see if</w:t>
      </w:r>
      <w:r>
        <w:t xml:space="preserve"> </w:t>
      </w:r>
      <w:r>
        <w:rPr>
          <w:i/>
        </w:rPr>
        <w:t xml:space="preserve">Propionibacterium</w:t>
      </w:r>
      <w:r>
        <w:t xml:space="preserve"> </w:t>
      </w:r>
      <w:r>
        <w:t xml:space="preserve">would remain as the most found Genus as younger age groups have more cases of acne as a result of unhealthy food choices</w:t>
      </w:r>
      <w:r>
        <w:t xml:space="preserve"> </w:t>
      </w:r>
      <w:r>
        <w:t xml:space="preserve">(Wolf</w:t>
      </w:r>
      <w:r>
        <w:t xml:space="preserve"> </w:t>
      </w:r>
      <w:r>
        <w:rPr>
          <w:i/>
        </w:rPr>
        <w:t xml:space="preserve">et al.</w:t>
      </w:r>
      <w:r>
        <w:t xml:space="preserve">, 2004)</w:t>
      </w:r>
      <w:r>
        <w:t xml:space="preserve">. The reason why</w:t>
      </w:r>
      <w:r>
        <w:t xml:space="preserve"> </w:t>
      </w:r>
      <w:r>
        <w:rPr>
          <w:i/>
        </w:rPr>
        <w:t xml:space="preserve">Bacillus</w:t>
      </w:r>
      <w:r>
        <w:t xml:space="preserve"> </w:t>
      </w:r>
      <w:r>
        <w:t xml:space="preserve">was found in the cultured data but not included in the most abundant genera was because I picked random colonies to culture and BLAST (Table 5; Figure 11).</w:t>
      </w:r>
    </w:p>
    <w:p>
      <w:pPr>
        <w:pStyle w:val="BodyText"/>
      </w:pPr>
      <w:r>
        <w:t xml:space="preserve">Another odd circumstance that occurred was that the negative controls contained bacteria such as</w:t>
      </w:r>
      <w:r>
        <w:t xml:space="preserve"> </w:t>
      </w:r>
      <w:r>
        <w:rPr>
          <w:i/>
        </w:rPr>
        <w:t xml:space="preserve">E. coli</w:t>
      </w:r>
      <w:r>
        <w:t xml:space="preserve"> </w:t>
      </w:r>
      <w:r>
        <w:t xml:space="preserve">and</w:t>
      </w:r>
      <w:r>
        <w:t xml:space="preserve"> </w:t>
      </w:r>
      <w:r>
        <w:rPr>
          <w:i/>
        </w:rPr>
        <w:t xml:space="preserve">Haemophilus parainfluenzae</w:t>
      </w:r>
      <w:r>
        <w:t xml:space="preserve">, which are contaminants and unexpected in supposedly sterile molecular grade reagent water. Since there the negative control produced a positive result, a confounding variable was involved. However, neither</w:t>
      </w:r>
      <w:r>
        <w:t xml:space="preserve"> </w:t>
      </w:r>
      <w:r>
        <w:rPr>
          <w:i/>
        </w:rPr>
        <w:t xml:space="preserve">E. coli</w:t>
      </w:r>
      <w:r>
        <w:t xml:space="preserve"> </w:t>
      </w:r>
      <w:r>
        <w:t xml:space="preserve">or</w:t>
      </w:r>
      <w:r>
        <w:t xml:space="preserve"> </w:t>
      </w:r>
      <w:r>
        <w:rPr>
          <w:i/>
        </w:rPr>
        <w:t xml:space="preserve">Haemophilus parainfluenzae</w:t>
      </w:r>
      <w:r>
        <w:t xml:space="preserve"> </w:t>
      </w:r>
      <w:r>
        <w:t xml:space="preserve">were found in the BLAST samples of my sequences. Illumina sequencing and BLAST of the positive controls worked because the positive controls contained the expected bacteria (Table 10). In addition, the alpha diversity metrics numbers of the negative controls were supposed to be zero, however that result was not attained (Figure 9). The majority of the phyla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On the skin, it is normal to find such a large amount</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on the human body which explains why so much of it was found on keyboards (Table 12;</w:t>
      </w:r>
      <w:r>
        <w:t xml:space="preserve"> </w:t>
      </w:r>
      <w:r>
        <w:t xml:space="preserve">(Fredborg</w:t>
      </w:r>
      <w:r>
        <w:t xml:space="preserve"> </w:t>
      </w:r>
      <w:r>
        <w:rPr>
          <w:i/>
        </w:rPr>
        <w:t xml:space="preserve">et al.</w:t>
      </w:r>
      <w:r>
        <w:t xml:space="preserve">, 2012)</w:t>
      </w:r>
      <w:r>
        <w:t xml:space="preserve">). These three phyla were also found in the negative controls, which was very surprising since it was supposed to be sterile molecular grade reagent water (Figure 10). A possible reason why the negative controls may have contained these contaminants was because the indexes during the last PCR may have been contaminated. For a future experiment, the exact same experiment could be repeated to ensure that was the reason why such odd results were observed in the negative controls.</w:t>
      </w:r>
    </w:p>
    <w:p>
      <w:pPr>
        <w:pStyle w:val="BodyText"/>
      </w:pPr>
      <w:r>
        <w:t xml:space="preserve">I did not find support for my hypothesis.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Furthermore, from the culture-free data, I found that there was no significant difference between the number of species between Communal and Individual sample groups (Table 8 Wilcox p = 0.7). The mean number of the alpha diversity measures were also not significantly different between sample groups using Shannon and Simpson (Table 12 Wilcox p = 0.7; Table 13 Wilcox p = 0.7). I did, however, find that there was a significant difference in colony abundance on communal keyboards over individual keyboards (Table 1 Wilcox p = 0.02).</w:t>
      </w:r>
    </w:p>
    <w:p>
      <w:pPr>
        <w:pStyle w:val="Heading1"/>
      </w:pPr>
      <w:bookmarkStart w:id="76" w:name="sources-cited"/>
      <w:r>
        <w:t xml:space="preserve">Sources Cited</w:t>
      </w:r>
      <w:bookmarkEnd w:id="76"/>
    </w:p>
    <w:bookmarkStart w:id="101" w:name="refs"/>
    <w:bookmarkStart w:id="77"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77"/>
    <w:bookmarkStart w:id="78"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78"/>
    <w:bookmarkStart w:id="79" w:name="ref-bojar2004acne"/>
    <w:p>
      <w:pPr>
        <w:pStyle w:val="Bibliography"/>
      </w:pPr>
      <w:r>
        <w:t xml:space="preserve">Bojar,R.A. and Holland,K.T. (2004) Acne and propionibacterium acnes.</w:t>
      </w:r>
      <w:r>
        <w:t xml:space="preserve"> </w:t>
      </w:r>
      <w:r>
        <w:rPr>
          <w:i/>
        </w:rPr>
        <w:t xml:space="preserve">Clinics in dermatology</w:t>
      </w:r>
      <w:r>
        <w:t xml:space="preserve">,</w:t>
      </w:r>
      <w:r>
        <w:t xml:space="preserve"> </w:t>
      </w:r>
      <w:r>
        <w:rPr>
          <w:b/>
        </w:rPr>
        <w:t xml:space="preserve">22</w:t>
      </w:r>
      <w:r>
        <w:t xml:space="preserve">, 375–379.</w:t>
      </w:r>
    </w:p>
    <w:bookmarkEnd w:id="79"/>
    <w:bookmarkStart w:id="80"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80"/>
    <w:bookmarkStart w:id="81"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81"/>
    <w:bookmarkStart w:id="82" w:name="ref-fraser2009bacterial"/>
    <w:p>
      <w:pPr>
        <w:pStyle w:val="Bibliography"/>
      </w:pPr>
      <w:r>
        <w:t xml:space="preserve">Fraser,M. and Girling,S. (2009) Bacterial carriage of computer keyboards in veterinary practices in scotland.</w:t>
      </w:r>
    </w:p>
    <w:bookmarkEnd w:id="82"/>
    <w:bookmarkStart w:id="83" w:name="ref-fredborg2012g"/>
    <w:p>
      <w:pPr>
        <w:pStyle w:val="Bibliography"/>
      </w:pPr>
      <w:r>
        <w:t xml:space="preserve">Fredborg,M.</w:t>
      </w:r>
      <w:r>
        <w:t xml:space="preserve"> </w:t>
      </w:r>
      <w:r>
        <w:rPr>
          <w:i/>
        </w:rPr>
        <w:t xml:space="preserve">et al.</w:t>
      </w:r>
      <w:r>
        <w:t xml:space="preserve"> </w:t>
      </w:r>
      <w:r>
        <w:t xml:space="preserve">(2012) G protein-coupled receptor120 (gpr120) transcription in intestinal epithelial cells is significantly affected by bacteria belonging to the bacteroides, proteobacteria, and firmicutes phyla.</w:t>
      </w:r>
      <w:r>
        <w:t xml:space="preserve"> </w:t>
      </w:r>
      <w:r>
        <w:rPr>
          <w:i/>
        </w:rPr>
        <w:t xml:space="preserve">Journal of animal science</w:t>
      </w:r>
      <w:r>
        <w:t xml:space="preserve">,</w:t>
      </w:r>
      <w:r>
        <w:t xml:space="preserve"> </w:t>
      </w:r>
      <w:r>
        <w:rPr>
          <w:b/>
        </w:rPr>
        <w:t xml:space="preserve">90</w:t>
      </w:r>
      <w:r>
        <w:t xml:space="preserve">, 10–12.</w:t>
      </w:r>
    </w:p>
    <w:bookmarkEnd w:id="83"/>
    <w:bookmarkStart w:id="84"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84"/>
    <w:bookmarkStart w:id="85" w:name="ref-hamzeh2011computer"/>
    <w:p>
      <w:pPr>
        <w:pStyle w:val="Bibliography"/>
      </w:pPr>
      <w:r>
        <w:t xml:space="preserve">Hamzeh,F. and Na’was,T. (2011) Computer mice in public centers: A source of pathogenic bacteria.</w:t>
      </w:r>
    </w:p>
    <w:bookmarkEnd w:id="85"/>
    <w:bookmarkStart w:id="86" w:name="ref-hospodsky2012human"/>
    <w:p>
      <w:pPr>
        <w:pStyle w:val="Bibliography"/>
      </w:pPr>
      <w:r>
        <w:t xml:space="preserve">Hospodsky,D.</w:t>
      </w:r>
      <w:r>
        <w:t xml:space="preserve"> </w:t>
      </w:r>
      <w:r>
        <w:rPr>
          <w:i/>
        </w:rPr>
        <w:t xml:space="preserve">et al.</w:t>
      </w:r>
      <w:r>
        <w:t xml:space="preserve"> </w:t>
      </w:r>
      <w:r>
        <w:t xml:space="preserve">(2012) Human occupancy as a source of indoor airborne bacteria.</w:t>
      </w:r>
      <w:r>
        <w:t xml:space="preserve"> </w:t>
      </w:r>
      <w:r>
        <w:rPr>
          <w:i/>
        </w:rPr>
        <w:t xml:space="preserve">PloS one</w:t>
      </w:r>
      <w:r>
        <w:t xml:space="preserve">,</w:t>
      </w:r>
      <w:r>
        <w:t xml:space="preserve"> </w:t>
      </w:r>
      <w:r>
        <w:rPr>
          <w:b/>
        </w:rPr>
        <w:t xml:space="preserve">7</w:t>
      </w:r>
      <w:r>
        <w:t xml:space="preserve">, e34867.</w:t>
      </w:r>
    </w:p>
    <w:bookmarkEnd w:id="86"/>
    <w:bookmarkStart w:id="87"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87"/>
    <w:bookmarkStart w:id="88"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88"/>
    <w:bookmarkStart w:id="89"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89"/>
    <w:bookmarkStart w:id="90"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90"/>
    <w:bookmarkStart w:id="91"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91"/>
    <w:bookmarkStart w:id="92"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92"/>
    <w:bookmarkStart w:id="93"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93"/>
    <w:bookmarkStart w:id="94" w:name="ref-meadow2014bacterial"/>
    <w:p>
      <w:pPr>
        <w:pStyle w:val="Bibliography"/>
      </w:pPr>
      <w:r>
        <w:t xml:space="preserve">Meadow,J.F.</w:t>
      </w:r>
      <w:r>
        <w:t xml:space="preserve"> </w:t>
      </w:r>
      <w:r>
        <w:rPr>
          <w:i/>
        </w:rPr>
        <w:t xml:space="preserve">et al.</w:t>
      </w:r>
      <w:r>
        <w:t xml:space="preserve"> </w:t>
      </w:r>
      <w:r>
        <w:t xml:space="preserve">(2014) Bacterial communities on classroom surfaces vary with human contact.</w:t>
      </w:r>
      <w:r>
        <w:t xml:space="preserve"> </w:t>
      </w:r>
      <w:r>
        <w:rPr>
          <w:i/>
        </w:rPr>
        <w:t xml:space="preserve">Microbiome</w:t>
      </w:r>
      <w:r>
        <w:t xml:space="preserve">,</w:t>
      </w:r>
      <w:r>
        <w:t xml:space="preserve"> </w:t>
      </w:r>
      <w:r>
        <w:rPr>
          <w:b/>
        </w:rPr>
        <w:t xml:space="preserve">2</w:t>
      </w:r>
      <w:r>
        <w:t xml:space="preserve">, 7.</w:t>
      </w:r>
    </w:p>
    <w:bookmarkEnd w:id="94"/>
    <w:bookmarkStart w:id="95" w:name="ref-muniesa2013could"/>
    <w:p>
      <w:pPr>
        <w:pStyle w:val="Bibliography"/>
      </w:pPr>
      <w:r>
        <w:t xml:space="preserve">Muniesa,M.</w:t>
      </w:r>
      <w:r>
        <w:t xml:space="preserve"> </w:t>
      </w:r>
      <w:r>
        <w:rPr>
          <w:i/>
        </w:rPr>
        <w:t xml:space="preserve">et al.</w:t>
      </w:r>
      <w:r>
        <w:t xml:space="preserve"> </w:t>
      </w:r>
      <w:r>
        <w:t xml:space="preserve">(2013) Could bacteriophages transfer antibiotic resistance genes from environmental bacteria to human-body associated bacterial populations?</w:t>
      </w:r>
      <w:r>
        <w:t xml:space="preserve"> </w:t>
      </w:r>
      <w:r>
        <w:rPr>
          <w:i/>
        </w:rPr>
        <w:t xml:space="preserve">Mobile genetic elements</w:t>
      </w:r>
      <w:r>
        <w:t xml:space="preserve">,</w:t>
      </w:r>
      <w:r>
        <w:t xml:space="preserve"> </w:t>
      </w:r>
      <w:r>
        <w:rPr>
          <w:b/>
        </w:rPr>
        <w:t xml:space="preserve">3</w:t>
      </w:r>
      <w:r>
        <w:t xml:space="preserve">, 739–51.</w:t>
      </w:r>
    </w:p>
    <w:bookmarkEnd w:id="95"/>
    <w:bookmarkStart w:id="96" w:name="ref-nagendra2002opposite"/>
    <w:p>
      <w:pPr>
        <w:pStyle w:val="Bibliography"/>
      </w:pPr>
      <w:r>
        <w:t xml:space="preserve">Nagendra,H. (2002) Opposite trends in response for the shannon and simpson indices of landscape diversity.</w:t>
      </w:r>
      <w:r>
        <w:t xml:space="preserve"> </w:t>
      </w:r>
      <w:r>
        <w:rPr>
          <w:i/>
        </w:rPr>
        <w:t xml:space="preserve">Applied geography</w:t>
      </w:r>
      <w:r>
        <w:t xml:space="preserve">,</w:t>
      </w:r>
      <w:r>
        <w:t xml:space="preserve"> </w:t>
      </w:r>
      <w:r>
        <w:rPr>
          <w:b/>
        </w:rPr>
        <w:t xml:space="preserve">22</w:t>
      </w:r>
      <w:r>
        <w:t xml:space="preserve">, 175–186.</w:t>
      </w:r>
    </w:p>
    <w:bookmarkEnd w:id="96"/>
    <w:bookmarkStart w:id="97"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97"/>
    <w:bookmarkStart w:id="98"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98"/>
    <w:bookmarkStart w:id="99" w:name="ref-weberextract"/>
    <w:p>
      <w:pPr>
        <w:pStyle w:val="Bibliography"/>
      </w:pPr>
      <w:r>
        <w:t xml:space="preserve">Weber,S. and Douglas,D. Extract-n-amp™ tissue pcr kit: Rapid genomic dna extraction from tissue coupled with pcr.</w:t>
      </w:r>
    </w:p>
    <w:bookmarkEnd w:id="99"/>
    <w:bookmarkStart w:id="100" w:name="ref-wolf2004acne"/>
    <w:p>
      <w:pPr>
        <w:pStyle w:val="Bibliography"/>
      </w:pPr>
      <w:r>
        <w:t xml:space="preserve">Wolf,R.</w:t>
      </w:r>
      <w:r>
        <w:t xml:space="preserve"> </w:t>
      </w:r>
      <w:r>
        <w:rPr>
          <w:i/>
        </w:rPr>
        <w:t xml:space="preserve">et al.</w:t>
      </w:r>
      <w:r>
        <w:t xml:space="preserve"> </w:t>
      </w:r>
      <w:r>
        <w:t xml:space="preserve">(2004) Acne and diet.</w:t>
      </w:r>
      <w:r>
        <w:t xml:space="preserve"> </w:t>
      </w:r>
      <w:r>
        <w:rPr>
          <w:i/>
        </w:rPr>
        <w:t xml:space="preserve">Clinics in dermatology</w:t>
      </w:r>
      <w:r>
        <w:t xml:space="preserve">,</w:t>
      </w:r>
      <w:r>
        <w:t xml:space="preserve"> </w:t>
      </w:r>
      <w:r>
        <w:rPr>
          <w:b/>
        </w:rPr>
        <w:t xml:space="preserve">22</w:t>
      </w:r>
      <w:r>
        <w:t xml:space="preserve">, 387–393.</w:t>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7" Target="media/rId67.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44" Target="media/rId44.png" /><Relationship Type="http://schemas.openxmlformats.org/officeDocument/2006/relationships/image" Id="rId40" Target="media/rId40.jpg" /><Relationship Type="http://schemas.openxmlformats.org/officeDocument/2006/relationships/image" Id="rId50" Target="media/rId50.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2019-11-20T23:09:01Z</dcterms:created>
  <dcterms:modified xsi:type="dcterms:W3CDTF">2019-11-20T23:09:01Z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October 16, 2019</vt:lpwstr>
  </property>
  <property fmtid="{D5CDD505-2E9C-101B-9397-08002B2CF9AE}" pid="5" name="output">
    <vt:lpwstr>word_document</vt:lpwstr>
  </property>
</Properties>
</file>