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2.png" ContentType="image/png"/>
  <Override PartName="/word/media/rId75.png" ContentType="image/png"/>
  <Override PartName="/word/media/rId76.png" ContentType="image/png"/>
  <Override PartName="/word/media/rId56.jpg" ContentType="image/jpeg"/>
  <Override PartName="/word/media/rId58.jpg" ContentType="image/jpeg"/>
  <Override PartName="/word/media/rId70.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successful preparation of each sample, I also used gel electrophoresis and Quibit Fluorometers. Following sequencing, I edited and trimmed my successful sequences using Geneious Prime V.4 2019.2 or bash scripts For further analysis, I used phylogenetic trees and BLAST to sort out my data and support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hae a minimum length of 140 was disregarded. After proper editing, my fastq files were converted into fasta files for better encoding of the BLAST results. BLAST was run on the terminal for all Illumina sequences and summarized via the cut function [madden2013blast].</w:t>
      </w:r>
    </w:p>
    <w:p>
      <w:pPr>
        <w:pStyle w:val="Heading1"/>
      </w:pPr>
      <w:bookmarkStart w:id="41" w:name="results"/>
      <w:r>
        <w:t xml:space="preserve">Results</w:t>
      </w:r>
      <w:bookmarkEnd w:id="41"/>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morphoptypes on the cell phones of Regular Students compared to Nursing Students using a Wilcox test. Further sequence analysis involved BLAST results and phylogenetic trees (PhyML and Mr. Bayes) to compare phylogeny of my sequenced bacteria. I found that while each sample had tested for bacterial growth, Regular students had greater phylum abundance and diversity in comparison to Nursing Students. However, I also found that the bacteria in Nursing Students still had bacteria that was just as infectious as the bacteria found in Regular Students.</w:t>
      </w:r>
    </w:p>
    <w:p>
      <w:pPr>
        <w:pStyle w:val="Heading2"/>
      </w:pPr>
      <w:bookmarkStart w:id="42" w:name="qubit-data-and-gel-electrophoresis"/>
      <w:r>
        <w:t xml:space="preserve">Qubit Data and Gel Electrophoresis</w:t>
      </w:r>
      <w:bookmarkEnd w:id="42"/>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confrim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3" w:name="culture-data"/>
      <w:r>
        <w:t xml:space="preserve">Culture Data</w:t>
      </w:r>
      <w:bookmarkEnd w:id="43"/>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4" w:name="sequencing"/>
      <w:r>
        <w:t xml:space="preserve">Sequencing</w:t>
      </w:r>
      <w:bookmarkEnd w:id="44"/>
    </w:p>
    <w:p>
      <w:pPr>
        <w:pStyle w:val="Heading3"/>
      </w:pPr>
      <w:bookmarkStart w:id="45" w:name="sanger-sequencing"/>
      <w:r>
        <w:t xml:space="preserve">Sanger Sequencing</w:t>
      </w:r>
      <w:bookmarkEnd w:id="45"/>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6" w:name="illumina-sequences"/>
      <w:r>
        <w:t xml:space="preserve">Illumina Sequences</w:t>
      </w:r>
      <w:bookmarkEnd w:id="46"/>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uncultered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1"/>
      </w:pPr>
      <w:bookmarkStart w:id="47" w:name="discussion"/>
      <w:r>
        <w:t xml:space="preserve">Discussion</w:t>
      </w:r>
      <w:bookmarkEnd w:id="47"/>
    </w:p>
    <w:p>
      <w:pPr>
        <w:pStyle w:val="Heading2"/>
      </w:pPr>
      <w:bookmarkStart w:id="48" w:name="summary"/>
      <w:r>
        <w:t xml:space="preserve">Summary</w:t>
      </w:r>
      <w:bookmarkEnd w:id="48"/>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less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49" w:name="interpretation-of-sanger-sequencing-and-taxa"/>
      <w:r>
        <w:t xml:space="preserve">Interpretation of Sanger Sequencing and Taxa</w:t>
      </w:r>
      <w:bookmarkEnd w:id="49"/>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0" w:name="interpretation-of-illumina-sequencing-and-taxa"/>
      <w:r>
        <w:t xml:space="preserve">Interpretation of Illumina Sequencing and Taxa</w:t>
      </w:r>
      <w:bookmarkEnd w:id="50"/>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1" w:name="error-analysis"/>
      <w:r>
        <w:t xml:space="preserve">Error Analysis</w:t>
      </w:r>
      <w:bookmarkEnd w:id="51"/>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52" w:name="tables-and-figures"/>
      <w:r>
        <w:t xml:space="preserve">Tables and Figures</w:t>
      </w:r>
      <w:bookmarkEnd w:id="52"/>
    </w:p>
    <w:p>
      <w:pPr>
        <w:pStyle w:val="Heading2"/>
      </w:pPr>
      <w:bookmarkStart w:id="53" w:name="table-of-quibit-data"/>
      <w:r>
        <w:t xml:space="preserve">Table of Quibit Data</w:t>
      </w:r>
      <w:bookmarkEnd w:id="53"/>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4" w:name="gel-electrophoresis-image"/>
      <w:r>
        <w:t xml:space="preserve">Gel Electrophoresis Image</w:t>
      </w:r>
      <w:bookmarkEnd w:id="54"/>
    </w:p>
    <w:p>
      <w:pPr>
        <w:pStyle w:val="Heading3"/>
      </w:pPr>
      <w:bookmarkStart w:id="55" w:name="image-for-culture-data"/>
      <w:r>
        <w:t xml:space="preserve">Image for Culture Data</w:t>
      </w:r>
      <w:bookmarkEnd w:id="55"/>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56"/>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57" w:name="image-for-culture-free-data"/>
      <w:r>
        <w:t xml:space="preserve">Image for Culture Free Data</w:t>
      </w:r>
      <w:bookmarkEnd w:id="57"/>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8"/>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59" w:name="culture-data-1"/>
      <w:r>
        <w:t xml:space="preserve">Culture Data</w:t>
      </w:r>
      <w:bookmarkEnd w:id="59"/>
    </w:p>
    <w:p>
      <w:pPr>
        <w:pStyle w:val="Heading3"/>
      </w:pPr>
      <w:bookmarkStart w:id="60" w:name="culture-data-colony-100x-box-plot"/>
      <w:r>
        <w:t xml:space="preserve">Culture Data Colony 100x Box Plot</w:t>
      </w:r>
      <w:bookmarkEnd w:id="6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t xml:space="preserve">## Culture D</w:t>
            </w:r>
          </w:p>
        </w:tc>
        <w:tc>
          <w:p>
            <w:pPr>
              <w:pStyle w:val="Compact"/>
              <w:jc w:val="right"/>
            </w:pPr>
            <w:r>
              <w:t xml:space="preserve">ata Morphoty</w:t>
            </w:r>
          </w:p>
        </w:tc>
        <w:tc>
          <w:p>
            <w:pPr>
              <w:pStyle w:val="Compact"/>
              <w:jc w:val="left"/>
            </w:pPr>
            <w:r>
              <w:t xml:space="preserve">pe 100x Box Plot</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3" w:name="sequencing-1"/>
      <w:r>
        <w:t xml:space="preserve">Sequencing</w:t>
      </w:r>
      <w:bookmarkEnd w:id="63"/>
    </w:p>
    <w:p>
      <w:pPr>
        <w:pStyle w:val="Heading2"/>
      </w:pPr>
      <w:bookmarkStart w:id="64" w:name="table-for-each-of-my-sequences"/>
      <w:r>
        <w:t xml:space="preserve">Table for each of my sequences</w:t>
      </w:r>
      <w:bookmarkEnd w:id="64"/>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65" w:name="table-for-each-of-my-successful-sanger-sequences-after-blast"/>
      <w:r>
        <w:t xml:space="preserve">Table for each of my successful Sanger Sequences after BLAST</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66" w:name="phylogenies"/>
      <w:r>
        <w:t xml:space="preserve">Phylogenies</w:t>
      </w:r>
      <w:bookmarkEnd w:id="66"/>
    </w:p>
    <w:p>
      <w:pPr>
        <w:pStyle w:val="Heading3"/>
      </w:pPr>
      <w:bookmarkStart w:id="67" w:name="phyml-phylogenetic-tree"/>
      <w:r>
        <w:t xml:space="preserve">PhyML Phylogenetic Tree</w:t>
      </w:r>
      <w:bookmarkEnd w:id="67"/>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9" w:name="mr.bayes-phylogenetic-tree"/>
      <w:r>
        <w:t xml:space="preserve">Mr. Bayes Phylogenetic tree</w:t>
      </w:r>
      <w:bookmarkEnd w:id="69"/>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1" w:name="fastqc-report"/>
      <w:r>
        <w:t xml:space="preserve">FastQC Report</w:t>
      </w:r>
      <w:bookmarkEnd w:id="71"/>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2" w:name="trimmmomatic-data"/>
      <w:r>
        <w:t xml:space="preserve">Trimmmomatic Data</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3" w:name="command-line-blast-analysis"/>
      <w:r>
        <w:t xml:space="preserve">Command-line BLAST Analysis</w:t>
      </w:r>
      <w:bookmarkEnd w:id="73"/>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74" w:name="phylum-abundance"/>
      <w:r>
        <w:t xml:space="preserve">Phylum Abundance</w:t>
      </w:r>
      <w:bookmarkEnd w:id="74"/>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phylum within the samples of Nursing Students and Regular Students. Positive and negative contorls are also present for comparison.</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unnamed-chunk-2-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Boxplot showing the Alpha Diversity Measure within types of samples.</w:t>
      </w:r>
    </w:p>
    <w:p>
      <w:pPr>
        <w:pStyle w:val="SourceCode"/>
      </w:pPr>
      <w:r>
        <w:rPr>
          <w:rStyle w:val="VerbatimChar"/>
        </w:rPr>
        <w:t xml:space="preserve">## # A tibble: 24 x 3</w:t>
      </w:r>
      <w:r>
        <w:br w:type="textWrapping"/>
      </w:r>
      <w:r>
        <w:rPr>
          <w:rStyle w:val="VerbatimChar"/>
        </w:rPr>
        <w:t xml:space="preserve">## # Groups:   student_initials [2]</w:t>
      </w:r>
      <w:r>
        <w:br w:type="textWrapping"/>
      </w:r>
      <w:r>
        <w:rPr>
          <w:rStyle w:val="VerbatimChar"/>
        </w:rPr>
        <w:t xml:space="preserve">##    student_initials Phylum                      sum_abundance</w:t>
      </w:r>
      <w:r>
        <w:br w:type="textWrapping"/>
      </w:r>
      <w:r>
        <w:rPr>
          <w:rStyle w:val="VerbatimChar"/>
        </w:rPr>
        <w:t xml:space="preserve">##    &lt;chr&gt;            &lt;chr&gt;                               &lt;int&gt;</w:t>
      </w:r>
      <w:r>
        <w:br w:type="textWrapping"/>
      </w:r>
      <w:r>
        <w:rPr>
          <w:rStyle w:val="VerbatimChar"/>
        </w:rPr>
        <w:t xml:space="preserve">##  1 AJ               Actinobacteria                      13216</w:t>
      </w:r>
      <w:r>
        <w:br w:type="textWrapping"/>
      </w:r>
      <w:r>
        <w:rPr>
          <w:rStyle w:val="VerbatimChar"/>
        </w:rPr>
        <w:t xml:space="preserve">##  2 AJ               Bacteroidetes                        2216</w:t>
      </w:r>
      <w:r>
        <w:br w:type="textWrapping"/>
      </w:r>
      <w:r>
        <w:rPr>
          <w:rStyle w:val="VerbatimChar"/>
        </w:rPr>
        <w:t xml:space="preserve">##  3 AJ               Candidatus_Saccharibacteria           114</w:t>
      </w:r>
      <w:r>
        <w:br w:type="textWrapping"/>
      </w:r>
      <w:r>
        <w:rPr>
          <w:rStyle w:val="VerbatimChar"/>
        </w:rPr>
        <w:t xml:space="preserve">##  4 AJ               Cyanobacteria/Chloroplast            5122</w:t>
      </w:r>
      <w:r>
        <w:br w:type="textWrapping"/>
      </w:r>
      <w:r>
        <w:rPr>
          <w:rStyle w:val="VerbatimChar"/>
        </w:rPr>
        <w:t xml:space="preserve">##  5 AJ               Deinococcus-Thermus                    24</w:t>
      </w:r>
      <w:r>
        <w:br w:type="textWrapping"/>
      </w:r>
      <w:r>
        <w:rPr>
          <w:rStyle w:val="VerbatimChar"/>
        </w:rPr>
        <w:t xml:space="preserve">##  6 AJ               Firmicutes                          17739</w:t>
      </w:r>
      <w:r>
        <w:br w:type="textWrapping"/>
      </w:r>
      <w:r>
        <w:rPr>
          <w:rStyle w:val="VerbatimChar"/>
        </w:rPr>
        <w:t xml:space="preserve">##  7 AJ               Fusobacteria                          757</w:t>
      </w:r>
      <w:r>
        <w:br w:type="textWrapping"/>
      </w:r>
      <w:r>
        <w:rPr>
          <w:rStyle w:val="VerbatimChar"/>
        </w:rPr>
        <w:t xml:space="preserve">##  8 AJ               Planctomycetes                         70</w:t>
      </w:r>
      <w:r>
        <w:br w:type="textWrapping"/>
      </w:r>
      <w:r>
        <w:rPr>
          <w:rStyle w:val="VerbatimChar"/>
        </w:rPr>
        <w:t xml:space="preserve">##  9 AJ               Proteobacteria                      22714</w:t>
      </w:r>
      <w:r>
        <w:br w:type="textWrapping"/>
      </w:r>
      <w:r>
        <w:rPr>
          <w:rStyle w:val="VerbatimChar"/>
        </w:rPr>
        <w:t xml:space="preserve">## 10 AJ               Spirochaetes                           52</w:t>
      </w:r>
      <w:r>
        <w:br w:type="textWrapping"/>
      </w:r>
      <w:r>
        <w:rPr>
          <w:rStyle w:val="VerbatimChar"/>
        </w:rPr>
        <w:t xml:space="preserve">## # … with 14 more rows</w:t>
      </w:r>
    </w:p>
    <w:p>
      <w:pPr>
        <w:pStyle w:val="FirstParagraph"/>
      </w:pPr>
      <w:r>
        <w:rPr>
          <w:b/>
        </w:rPr>
        <w:t xml:space="preserve">Figure 9:</w:t>
      </w:r>
      <w:r>
        <w:t xml:space="preserve"> </w:t>
      </w:r>
      <w:r>
        <w:t xml:space="preserve">Table summarizing sequence counts for each Phylum.</w:t>
      </w:r>
    </w:p>
    <w:p>
      <w:pPr>
        <w:pStyle w:val="BodyText"/>
      </w:pPr>
      <w:r>
        <w:rPr>
          <w:b/>
        </w:rPr>
        <w:t xml:space="preserve">Figure 10:</w:t>
      </w:r>
    </w:p>
    <w:p>
      <w:pPr>
        <w:pStyle w:val="BodyText"/>
      </w:pPr>
      <w:r>
        <w:rPr>
          <w:b/>
        </w:rPr>
        <w:t xml:space="preserve">Figure 11:</w:t>
      </w:r>
    </w:p>
    <w:p>
      <w:pPr>
        <w:pStyle w:val="BodyText"/>
      </w:pPr>
      <w:r>
        <w:rPr>
          <w:b/>
        </w:rPr>
        <w:t xml:space="preserve">Figure 12:</w:t>
      </w:r>
    </w:p>
    <w:p>
      <w:pPr>
        <w:pStyle w:val="Heading1"/>
      </w:pPr>
      <w:bookmarkStart w:id="77" w:name="sources-cited"/>
      <w:r>
        <w:t xml:space="preserve">Sources Cited</w:t>
      </w:r>
      <w:bookmarkEnd w:id="77"/>
    </w:p>
    <w:bookmarkStart w:id="100" w:name="refs"/>
    <w:bookmarkStart w:id="78"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78"/>
    <w:bookmarkStart w:id="79"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9"/>
    <w:bookmarkStart w:id="80"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80"/>
    <w:bookmarkStart w:id="81"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81"/>
    <w:bookmarkStart w:id="82"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82"/>
    <w:bookmarkStart w:id="83"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83"/>
    <w:bookmarkStart w:id="84"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84"/>
    <w:bookmarkStart w:id="85"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85"/>
    <w:bookmarkStart w:id="86"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86"/>
    <w:bookmarkStart w:id="87"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87"/>
    <w:bookmarkStart w:id="88"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88"/>
    <w:bookmarkStart w:id="89"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89"/>
    <w:bookmarkStart w:id="90"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90"/>
    <w:bookmarkStart w:id="91"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91"/>
    <w:bookmarkStart w:id="92"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92"/>
    <w:bookmarkStart w:id="93"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93"/>
    <w:bookmarkStart w:id="94"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94"/>
    <w:bookmarkStart w:id="95"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95"/>
    <w:bookmarkStart w:id="96"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96"/>
    <w:bookmarkStart w:id="97"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97"/>
    <w:bookmarkStart w:id="98"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98"/>
    <w:bookmarkStart w:id="99"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2019-11-25T05:10:47Z</dcterms:created>
  <dcterms:modified xsi:type="dcterms:W3CDTF">2019-11-25T05:10:47Z</dcterms:modified>
</cp:coreProperties>
</file>