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44.jpg" ContentType="image/jpeg"/>
  <Override PartName="/word/media/rId58.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r>
        <w:t xml:space="preserve"> </w:t>
      </w:r>
      <w:r>
        <w:t xml:space="preserve">despite</w:t>
      </w:r>
      <w:r>
        <w:t xml:space="preserve"> </w:t>
      </w:r>
      <w:r>
        <w:t xml:space="preserve">contagious</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groups</w:t>
      </w:r>
      <w:r>
        <w:t xml:space="preserve"> </w:t>
      </w:r>
      <w:r>
        <w:t xml:space="preserve">confirms</w:t>
      </w:r>
      <w:r>
        <w:t xml:space="preserve"> </w:t>
      </w:r>
      <w:r>
        <w:t xml:space="preserve">the</w:t>
      </w:r>
      <w:r>
        <w:t xml:space="preserve"> </w:t>
      </w:r>
      <w:r>
        <w:t xml:space="preserve">benefit</w:t>
      </w:r>
      <w:r>
        <w:t xml:space="preserve"> </w:t>
      </w:r>
      <w:r>
        <w:t xml:space="preserve">of</w:t>
      </w:r>
      <w:r>
        <w:t xml:space="preserve"> </w:t>
      </w:r>
      <w:r>
        <w:t xml:space="preserve">implemented</w:t>
      </w:r>
      <w:r>
        <w:t xml:space="preserve"> </w:t>
      </w:r>
      <w:r>
        <w:t xml:space="preserve">phone-sanitizing</w:t>
      </w:r>
      <w:r>
        <w:t xml:space="preserve"> </w:t>
      </w:r>
      <w:r>
        <w:t xml:space="preserve">protocols</w:t>
      </w:r>
      <w:r>
        <w:t xml:space="preserve"> </w:t>
      </w:r>
      <w:r>
        <w:t xml:space="preserve">in</w:t>
      </w:r>
      <w:r>
        <w:t xml:space="preserve"> </w:t>
      </w:r>
      <w:r>
        <w:t xml:space="preserve">hospitals</w:t>
      </w:r>
    </w:p>
    <w:p>
      <w:pPr>
        <w:pStyle w:val="Author"/>
      </w:pPr>
      <w:r>
        <w:t xml:space="preserve">Angela</w:t>
      </w:r>
      <w:r>
        <w:t xml:space="preserve"> </w:t>
      </w:r>
      <w:r>
        <w:t xml:space="preserve">Jocson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 E. coli which then can cause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similarily contaminated with various types of microorganisms</w:t>
      </w:r>
      <w:r>
        <w:t xml:space="preserve"> </w:t>
      </w:r>
      <w:r>
        <w:t xml:space="preserve">(2009)</w:t>
      </w:r>
      <w:r>
        <w:t xml:space="preserve">. This further justifies that cell phones used in daily practice for health care works may be a source of nosocomial infections in hospitals. However, the risk of unsafe hospital practices are not isolated in only hospitals in Turkey but are seen across the globe. 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w:t>
      </w:r>
    </w:p>
    <w:p>
      <w:pPr>
        <w:pStyle w:val="BodyText"/>
      </w:pPr>
      <w:r>
        <w:t xml:space="preserve">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My main question is to see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but limited my study to focus on students who carry their phones everywhere (even when working in clinical sites such as Saint Mary’s Hospital. After collecting my samples, I prepared my collected swabs to be either cultured or un-cultured and analyzed them for bacterial growth based on number of colonies and different morphotypes.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3"/>
      </w:pPr>
      <w:bookmarkStart w:id="21" w:name="study-question"/>
      <w:r>
        <w:t xml:space="preserve">Study 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3"/>
      </w:pPr>
      <w:bookmarkStart w:id="22" w:name="hypothesis"/>
      <w:r>
        <w:t xml:space="preserve">Hypothesis</w:t>
      </w:r>
      <w:bookmarkEnd w:id="22"/>
    </w:p>
    <w:p>
      <w:pPr>
        <w:pStyle w:val="FirstParagraph"/>
      </w:pPr>
      <w:r>
        <w:t xml:space="preserve">Students who enter hospitals with their phones tend to sanitize before and after entering hosptal rooms, thus having less bacteria than those who can use their phones freely.</w:t>
      </w:r>
    </w:p>
    <w:p>
      <w:pPr>
        <w:pStyle w:val="Heading3"/>
      </w:pPr>
      <w:bookmarkStart w:id="23" w:name="study-design"/>
      <w:r>
        <w:t xml:space="preserve">Study Design</w:t>
      </w:r>
      <w:bookmarkEnd w:id="23"/>
    </w:p>
    <w:p>
      <w:pPr>
        <w:pStyle w:val="FirstParagraph"/>
      </w:pPr>
      <w:r>
        <w:t xml:space="preserve">I sampled 6 total students at the University of San Francisco, 3 Nursing students who work at the clinical site of St. Mary’s hospital (where they are supposed to clean off their phones) versus 3 students who carry their phones regularly on a daily basis. This left me with 12 samples (n = 2 swabs for each student, 12 total) to extract and sequence for bacterial DNA.</w:t>
      </w:r>
    </w:p>
    <w:p>
      <w:pPr>
        <w:pStyle w:val="Heading1"/>
      </w:pPr>
      <w:bookmarkStart w:id="24" w:name="methods"/>
      <w:r>
        <w:t xml:space="preserve">Methods</w:t>
      </w:r>
      <w:bookmarkEnd w:id="24"/>
    </w:p>
    <w:p>
      <w:pPr>
        <w:pStyle w:val="Heading2"/>
      </w:pPr>
      <w:bookmarkStart w:id="25" w:name="sampling-plan"/>
      <w:r>
        <w:t xml:space="preserve">Sampling Plan</w:t>
      </w:r>
      <w:bookmarkEnd w:id="25"/>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at 1:30 pm, Tuesday, September 3.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 as well on the University of San Francisco Campus.</w:t>
      </w:r>
    </w:p>
    <w:p>
      <w:pPr>
        <w:pStyle w:val="Heading2"/>
      </w:pPr>
      <w:bookmarkStart w:id="26" w:name="sample-collection"/>
      <w:r>
        <w:t xml:space="preserve">Sample Collection</w:t>
      </w:r>
      <w:bookmarkEnd w:id="26"/>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w:t>
      </w:r>
    </w:p>
    <w:p>
      <w:pPr>
        <w:pStyle w:val="BodyText"/>
      </w:pPr>
      <w:r>
        <w:t xml:space="preserve">Each phone from every student (6 total) required two swabs (n = 2,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w:t>
      </w:r>
    </w:p>
    <w:p>
      <w:pPr>
        <w:pStyle w:val="BodyText"/>
      </w:pPr>
      <w:r>
        <w:t xml:space="preserve">After two swab samples had been taken from each student, one sample went to freeze for later DNA extraction while the other sample was set up for dilution and culture plating.</w:t>
      </w:r>
    </w:p>
    <w:p>
      <w:pPr>
        <w:pStyle w:val="Heading3"/>
      </w:pPr>
      <w:bookmarkStart w:id="27" w:name="sample-preparation-for-culturing"/>
      <w:r>
        <w:t xml:space="preserve">Sample Preparation for Culturing</w:t>
      </w:r>
      <w:bookmarkEnd w:id="27"/>
    </w:p>
    <w:p>
      <w:pPr>
        <w:pStyle w:val="FirstParagraph"/>
      </w:pPr>
      <w:r>
        <w:t xml:space="preserve">Once one sample had been sent away to freeze for DNA extraction, the other sample was mixed with 200 ul of PBS (7.4 pH) and vortexed for 15 seconds.</w:t>
      </w:r>
    </w:p>
    <w:p>
      <w:pPr>
        <w:pStyle w:val="BodyText"/>
      </w:pPr>
      <w:r>
        <w:t xml:space="preserve">From this sample, two more tubes were prepped and labeled for a 10x dilution and 100x dilution (n = 3 per student, 18 total). For the 10x dilution, the test tube was given 180 ul of PBS plus 20 ul of the original sample and vortexed for 5 seconds. The 100x dilution was given 180 ul of PBS and 20 ul from the 10x dilution and also vortexed for 5 seconds.</w:t>
      </w:r>
    </w:p>
    <w:p>
      <w:pPr>
        <w:pStyle w:val="BodyText"/>
      </w:pPr>
      <w:r>
        <w:t xml:space="preserve">I labeled and used 18 100mm Petri dish culture plates (with TSA, tryptic soy agar, as growth media) to set up bacterial culturing (n = 3 per group, 6 total). 100 ul was then taken from each sample, vortexed, and spread evenly with 8-10 Rattler beads (Spreader beads) around the bottom of the plate for about 10-20 seconds.</w:t>
      </w:r>
    </w:p>
    <w:p>
      <w:pPr>
        <w:pStyle w:val="BodyText"/>
      </w:pPr>
      <w:r>
        <w:t xml:space="preserve">These culture plates were then left to incubate for 37 degrees Celcius overnight with an expected 1 culture growth per plate.</w:t>
      </w:r>
    </w:p>
    <w:p>
      <w:pPr>
        <w:pStyle w:val="Heading4"/>
      </w:pPr>
      <w:bookmarkStart w:id="28" w:name="culture-measurement"/>
      <w:r>
        <w:t xml:space="preserve">Culture Measurement</w:t>
      </w:r>
      <w:bookmarkEnd w:id="28"/>
    </w:p>
    <w:p>
      <w:pPr>
        <w:pStyle w:val="FirstParagraph"/>
      </w:pPr>
      <w:r>
        <w:t xml:space="preserve">The following day (September 4, 2019) I measured each culture plate</w:t>
      </w:r>
      <w:r>
        <w:t xml:space="preserve"> </w:t>
      </w:r>
      <w:hyperlink r:id="rId29">
        <w:r>
          <w:rPr>
            <w:rStyle w:val="Hyperlink"/>
          </w:rPr>
          <w:t xml:space="preserve">for growth of colonies and monophytes.</w:t>
        </w:r>
      </w:hyperlink>
      <w:r>
        <w:t xml:space="preserve">.</w:t>
      </w:r>
    </w:p>
    <w:p>
      <w:pPr>
        <w:pStyle w:val="BodyText"/>
      </w:pPr>
      <w:r>
        <w:t xml:space="preserve">I incubated each of the samples at 37 degrees Celsius and recounted 5 days after on September 9, 2019. For group A: 1A (1 colony, 1 morphotype), 2A (5 colonies, 4 morphotypes), and 3A (2 colonies, 2 morphotypes) all had the highest growth in their 100x dilution while group B: 1B (1 colony, 1 morphotype), 2B (21 colonies, 9 morphotypes), 3B all exhibited most growth at their 1x dilution (70 colonies, 4 morphotypes).</w:t>
      </w:r>
    </w:p>
    <w:p>
      <w:pPr>
        <w:pStyle w:val="Heading2"/>
      </w:pPr>
      <w:bookmarkStart w:id="30" w:name="dna-extraction-protocol"/>
      <w:r>
        <w:t xml:space="preserve">DNA Extraction Protocol</w:t>
      </w:r>
      <w:bookmarkEnd w:id="30"/>
    </w:p>
    <w:p>
      <w:pPr>
        <w:pStyle w:val="Heading3"/>
      </w:pPr>
      <w:bookmarkStart w:id="31" w:name="culture-dna-extraction"/>
      <w:r>
        <w:t xml:space="preserve">Culture DNA Extraction</w:t>
      </w:r>
      <w:bookmarkEnd w:id="31"/>
    </w:p>
    <w:p>
      <w:pPr>
        <w:pStyle w:val="FirstParagraph"/>
      </w:pPr>
      <w:r>
        <w:t xml:space="preserve">The selected culture plates with the most colonies were given for extraction (September 10, 2019). With a 1.5 ml tube and a sterile pipette tip, cells from one colony from each plate were collected (6 total).</w:t>
      </w:r>
    </w:p>
    <w:p>
      <w:pPr>
        <w:pStyle w:val="BodyText"/>
      </w:pPr>
      <w:r>
        <w:t xml:space="preserve">For DNA Extraction, I followed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In each 1.5 ml tube, 100 ul of Extraction Solution was added and vortexed for 60 seconds. Afterward, each tube was then incubated for 10 minutes at 95 degrees Celsius and then vortexed for another 60 seconds. 100 ul of Dilution Solution was added to each tube, vortexed for 5 seconds, and centrifuged for 5 minutes at full speed.</w:t>
      </w:r>
    </w:p>
    <w:p>
      <w:pPr>
        <w:pStyle w:val="BodyText"/>
      </w:pPr>
      <w:r>
        <w:t xml:space="preserve">Once each sample was done (6 total), they were then set up for Quibit protocol. I used a Qubit Fluorometric Quantification to quantitate the amount of DNA was present in each prepped tube (ng/ul). Each cultured sample was recorded for their amount of Quibit data (1A: 5.13 ng/ul, 2A: 8.09 ng/ ul, 3A: 9.75 ng/ul, 1B: 7.08 ng/ul, 2B: 7.4 ng/ul, 3B: 10.8 ng/ul).</w:t>
      </w:r>
    </w:p>
    <w:p>
      <w:pPr>
        <w:pStyle w:val="Heading3"/>
      </w:pPr>
      <w:bookmarkStart w:id="32" w:name="culture-free-dna-extraction"/>
      <w:r>
        <w:t xml:space="preserve">Culture free DNA Extraction</w:t>
      </w:r>
      <w:bookmarkEnd w:id="32"/>
    </w:p>
    <w:p>
      <w:pPr>
        <w:pStyle w:val="FirstParagraph"/>
      </w:pPr>
      <w:r>
        <w:t xml:space="preserve">The original frozen sample that was set aside during sample collection (September 3, 2019) was then redistributed and prepped for DNA Extraction (September 11, 2019, 6 samples total)</w:t>
      </w:r>
    </w:p>
    <w:p>
      <w:pPr>
        <w:pStyle w:val="BodyText"/>
      </w:pPr>
      <w:r>
        <w:t xml:space="preserve">This protocol also used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Each sample was thawed and 100 ul of Extraction was added and vortexed for 60 seconds. The samples were then incubated for 10 minutes at 95 degrees Celsius and then vortexed for another 60 seconds. After, 100 ul of Dilution Solution was added and vortex for 5 seconds and centrifuged for 5 minutes.</w:t>
      </w:r>
    </w:p>
    <w:p>
      <w:pPr>
        <w:pStyle w:val="BodyText"/>
      </w:pPr>
      <w:r>
        <w:t xml:space="preserve">Once finished, these samples followed the Qubit extraction (6 total). I used a Qubit Fluorometric Quantification and each cultured sample was recorded for their amount of Qubit data (1A: 6.05 ng/ul, 2A: 5.52 ng/ ul, 3A: 4.83 ng/ul, 1B: 5.91 ng/ul, 2B: 5.23 ng/ul, 3B: 4.34 ng/ul).</w:t>
      </w:r>
    </w:p>
    <w:p>
      <w:pPr>
        <w:pStyle w:val="BodyText"/>
      </w:pPr>
      <w:r>
        <w:t xml:space="preserve">I recorded all data</w:t>
      </w:r>
      <w:r>
        <w:t xml:space="preserve"> </w:t>
      </w:r>
      <w:hyperlink r:id="rId33">
        <w:r>
          <w:rPr>
            <w:rStyle w:val="Hyperlink"/>
          </w:rPr>
          <w:t xml:space="preserve">with dilution id, concentration, and whether it was the culture or culture-free extraction.</w:t>
        </w:r>
      </w:hyperlink>
      <w:r>
        <w:t xml:space="preserve">.</w:t>
      </w:r>
    </w:p>
    <w:p>
      <w:pPr>
        <w:pStyle w:val="Heading2"/>
      </w:pPr>
      <w:bookmarkStart w:id="34" w:name="pcr-protocol"/>
      <w:r>
        <w:t xml:space="preserve">PCR Protocol</w:t>
      </w:r>
      <w:bookmarkEnd w:id="34"/>
    </w:p>
    <w:p>
      <w:pPr>
        <w:pStyle w:val="Heading3"/>
      </w:pPr>
      <w:bookmarkStart w:id="35" w:name="pcr-for-culture"/>
      <w:r>
        <w:t xml:space="preserve">PCR for Culture</w:t>
      </w:r>
      <w:bookmarkEnd w:id="35"/>
    </w:p>
    <w:p>
      <w:pPr>
        <w:pStyle w:val="FirstParagraph"/>
      </w:pPr>
      <w:r>
        <w:t xml:space="preserve">On September 17, 2019, I set up a PCR protocol for the cultured samples (6 total).</w:t>
      </w:r>
    </w:p>
    <w:p>
      <w:pPr>
        <w:pStyle w:val="BodyText"/>
      </w:pPr>
      <w:r>
        <w:t xml:space="preserve">For my master mix, each reagent followed the equation: (n+1) + 10% (+ 1 accounting for control, and 10% accounting for any mess-ups). Including my control, I had a total of 7 samples for PCR. This resulted in calculated volumes (for n = 7 samples) of 77 ul of AMP, 6.2 ul of 27 F primer, 6.2 of 1492 R primer, 7.7 ul of BSA, 49.5 ul of H2O and 1 ul of Template DNA or 1 ul of water for the control.</w:t>
      </w:r>
    </w:p>
    <w:p>
      <w:pPr>
        <w:pStyle w:val="BodyText"/>
      </w:pPr>
      <w:r>
        <w:t xml:space="preserve">17 ul of my master mix was added to each PCR tube (7 total) (although the original protocol called for 19 ul, I ended up not having enough mix.</w:t>
      </w:r>
    </w:p>
    <w:p>
      <w:pPr>
        <w:pStyle w:val="BodyText"/>
      </w:pPr>
      <w:r>
        <w:t xml:space="preserve">The PCR Cycle started with the denaturing at a high temperature with PCR Conditioning starting from step one of 95 degrees C for 5 minutes, then 94 degrees C for 30 seconds, 65 degrees C for 30 seconds, and finally 72 degrees C for 1 minute. This went on for 10 cycles and each step going down 1 degree per cycle to ensure copies.</w:t>
      </w:r>
    </w:p>
    <w:p>
      <w:pPr>
        <w:pStyle w:val="BodyText"/>
      </w:pPr>
      <w:r>
        <w:t xml:space="preserve">PCR followed 25 more cycles of 94 degrees C for 30 seconds, 55 degrees C for 30 seconds, 72 degrees C for 1 minute. Finally, 72 degrees C for 10 minutes, and 4 degrees C of holding.</w:t>
      </w:r>
    </w:p>
    <w:p>
      <w:pPr>
        <w:pStyle w:val="BodyText"/>
      </w:pPr>
      <w:r>
        <w:t xml:space="preserve">This resulted in a total number of 35 cycles.</w:t>
      </w:r>
    </w:p>
    <w:p>
      <w:pPr>
        <w:pStyle w:val="Heading4"/>
      </w:pPr>
      <w:bookmarkStart w:id="36" w:name="gel-electrophoresis"/>
      <w:r>
        <w:t xml:space="preserve">Gel Electrophoresis</w:t>
      </w:r>
      <w:bookmarkEnd w:id="36"/>
    </w:p>
    <w:p>
      <w:pPr>
        <w:pStyle w:val="FirstParagraph"/>
      </w:pPr>
      <w:r>
        <w:t xml:space="preserve">Following PCR, gel electrophoresis was used running on 2 percent Agarose gel with SYBR Safe Dye added to it. 4 ul of each sample was pipetted onto the gel and ran under 140V for 30 minutes.</w:t>
      </w:r>
    </w:p>
    <w:p>
      <w:pPr>
        <w:pStyle w:val="BodyText"/>
      </w:pPr>
      <w:r>
        <w:t xml:space="preserve">I photographed the final product of gel electrophoresis and noted band intensity and successful amplification.</w:t>
      </w:r>
    </w:p>
    <w:p>
      <w:pPr>
        <w:pStyle w:val="Heading4"/>
      </w:pPr>
      <w:bookmarkStart w:id="37" w:name="exo-sap"/>
      <w:r>
        <w:t xml:space="preserve">Exo-SAP</w:t>
      </w:r>
      <w:bookmarkEnd w:id="37"/>
    </w:p>
    <w:p>
      <w:pPr>
        <w:pStyle w:val="FirstParagraph"/>
      </w:pPr>
      <w:r>
        <w:t xml:space="preserve">On September 23, 19, 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8" w:name="pcr-of-uncultured-data-illumina"/>
      <w:r>
        <w:t xml:space="preserve">PCR of Uncultured Data (+ Illumina)</w:t>
      </w:r>
      <w:bookmarkEnd w:id="38"/>
    </w:p>
    <w:p>
      <w:pPr>
        <w:pStyle w:val="FirstParagraph"/>
      </w:pPr>
      <w:r>
        <w:t xml:space="preserve">Following gel electrophoresis, PCR products were purified using AmpureXP magnetic beads (Beckman-Coulter) and quantitated using a PicoGreen fluorescent assay (Invitrogen) on a Tecan Infinite M Plex plate reader (September 23, 2019).</w:t>
      </w:r>
    </w:p>
    <w:p>
      <w:pPr>
        <w:pStyle w:val="BodyText"/>
      </w:pPr>
      <w:r>
        <w:t xml:space="preserve">My master mix followed the equation (n+1) + 10% (+ 1 accounting for control, and 10% accounting for any mess-ups). In total, I had 77 ul of AMP,6.2 ul of 10 uM Iseq 165 F, 6.2 ul of 10 uM Iseq 165 R, 7.7 ul of BSA, 1 ul of the template of water for the control, and 49.5 ul of H2O (for 7 samples total, including control).</w:t>
      </w:r>
    </w:p>
    <w:p>
      <w:pPr>
        <w:pStyle w:val="BodyText"/>
      </w:pPr>
      <w:r>
        <w:t xml:space="preserve">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C.</w:t>
      </w:r>
    </w:p>
    <w:p>
      <w:pPr>
        <w:pStyle w:val="BodyText"/>
      </w:pPr>
      <w:r>
        <w:t xml:space="preserve">The PCR Cycle started with the PCR Conditioning starting from step one of 95 degrees Celsius for 3 minutes, then 95 degrees Celsius for 30 seconds, 55 degrees Celsius for 30 seconds, 72 degrees Celsius for 30 seconds, 72 degrees for 5 minutes, and finally a 4 degrees Celsius hold. This went on for 25 cycles, resulting in PCR products 1,024 times smaller than the previous PCR.</w:t>
      </w:r>
    </w:p>
    <w:p>
      <w:pPr>
        <w:pStyle w:val="BodyText"/>
      </w:pPr>
      <w:r>
        <w:t xml:space="preserve">The following day, the Culture Free Samples underwent another round of PCR (with 8 more cycles) for a total of 32 rounds of PCR (September 25, 2019).</w:t>
      </w:r>
    </w:p>
    <w:p>
      <w:pPr>
        <w:pStyle w:val="Heading4"/>
      </w:pPr>
      <w:bookmarkStart w:id="39" w:name="qubit"/>
      <w:r>
        <w:t xml:space="preserve">Qubit</w:t>
      </w:r>
      <w:bookmarkEnd w:id="39"/>
    </w:p>
    <w:p>
      <w:pPr>
        <w:pStyle w:val="FirstParagraph"/>
      </w:pPr>
      <w:r>
        <w:t xml:space="preserve">PCR products were then purified and normalized with a SequelPrep normalization plate (Invitrogen), pooled, and then quantified once again with a Qubit 4 fluorometer (Invitrogen) and a TapeStation 4200 (Agilent) to verify library size and concentration.</w:t>
      </w:r>
    </w:p>
    <w:p>
      <w:pPr>
        <w:pStyle w:val="Heading4"/>
      </w:pPr>
      <w:bookmarkStart w:id="40" w:name="illumina-library"/>
      <w:r>
        <w:t xml:space="preserve">Illumina Library</w:t>
      </w:r>
      <w:bookmarkEnd w:id="40"/>
    </w:p>
    <w:p>
      <w:pPr>
        <w:pStyle w:val="FirstParagraph"/>
      </w:pPr>
      <w:r>
        <w:t xml:space="preserve">This library was then diluted to the loading concentration (50 pM) and combined with an Illumina PhiX spike-in library (5% spike in) and sequenced on an Illumina iSeq using a 2 x 150 bp consumable cartridge.</w:t>
      </w:r>
    </w:p>
    <w:p>
      <w:pPr>
        <w:pStyle w:val="Heading2"/>
      </w:pPr>
      <w:bookmarkStart w:id="41" w:name="sequencing-and-editing"/>
      <w:r>
        <w:t xml:space="preserve">Sequencing and Editing</w:t>
      </w:r>
      <w:bookmarkEnd w:id="41"/>
    </w:p>
    <w:p>
      <w:pPr>
        <w:pStyle w:val="FirstParagraph"/>
      </w:pPr>
      <w:r>
        <w:t xml:space="preserve">After being sent out from the lab, my sequences were uploaded onto Geneious Prime for editing and IUPAC Coding (7 total, including water).</w:t>
      </w:r>
    </w:p>
    <w:p>
      <w:pPr>
        <w:pStyle w:val="BodyText"/>
      </w:pPr>
      <w:r>
        <w:t xml:space="preserve">First, I made sure to check that my sequences had fully run. Here, only my samples 3a, 2b, and 3b ran all the way three and were ready to be edited. Editing involved trimming both the beginning and end of each sequence to make sure there was not too much noise. This also involved looking at any areas where the DNA seemed ambiguous and using my best judgment to fill in the data using IUPAC Ambiguity codes.</w:t>
      </w:r>
    </w:p>
    <w:p>
      <w:pPr>
        <w:pStyle w:val="BodyText"/>
      </w:pPr>
      <w:r>
        <w:t xml:space="preserve">Once I reached a high enough HQ% we used alignment to realign the working sequences with a sequence of DNA from my outgroup of Thermus Aquaticus Strain YT-1 16 S (downloaded from the NCBI genebank), this was aligned using MAFFT (Multiple Alignment using Fast Fourier Transform). Again, this realignment was trimmed at the beginning and end for each sequence to align perfectly with the outgroup. Once aligned, I used Geneious to create a PhyML Tree and Mr. Bayes to create phylogenies comparing my DNA sequences to the outgroup. The PhyML Tree followed a substitution model of GTR with a Branch Support of Boostrap (100 Bootstraps). Mr. Bayes ran also under GTR, a rate variation of invgamma, a chain length of 1,100,000, a subsampling freq of 200, and a burn-in length of 100,000.</w:t>
      </w:r>
    </w:p>
    <w:p>
      <w:pPr>
        <w:pStyle w:val="Heading1"/>
      </w:pPr>
      <w:bookmarkStart w:id="42" w:name="results"/>
      <w:r>
        <w:t xml:space="preserve">Results</w:t>
      </w:r>
      <w:bookmarkEnd w:id="42"/>
    </w:p>
    <w:p>
      <w:pPr>
        <w:pStyle w:val="FirstParagraph"/>
      </w:pPr>
      <w:r>
        <w:t xml:space="preserve">Following PCR Protocol, Gel Electrophoresis was done to analyze DNA molecular size and compare it alongside other samples. Each gel ran on 2 percent Agarose gel with SYBR Safe Dye added to it. These samples ran overnight alongside a ladder for comparison.</w:t>
      </w:r>
    </w:p>
    <w:p>
      <w:pPr>
        <w:pStyle w:val="Heading2"/>
      </w:pPr>
      <w:bookmarkStart w:id="43" w:name="gel-electrophoresis-image---culture"/>
      <w:r>
        <w:t xml:space="preserve">Gel Electrophoresis Image - Culture</w:t>
      </w:r>
      <w:bookmarkEnd w:id="43"/>
    </w:p>
    <w:p>
      <w:pPr>
        <w:pStyle w:val="CaptionedFigure"/>
      </w:pPr>
      <w:r>
        <w:drawing>
          <wp:inline>
            <wp:extent cx="5334000" cy="9510232"/>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44"/>
                    <a:stretch>
                      <a:fillRect/>
                    </a:stretch>
                  </pic:blipFill>
                  <pic:spPr bwMode="auto">
                    <a:xfrm>
                      <a:off x="0" y="0"/>
                      <a:ext cx="5334000" cy="9510232"/>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BodyText"/>
      </w:pPr>
      <w:r>
        <w:t xml:space="preserve">The final gel electrophoresis showcased strong bands are seen in samples 1A,2B,and 3B. 2A and 3A were described as light bands with no bands for 1B and the control. This shows how molecules are separated based on size and charge and helps indicate whether our PCR protocol would work by showing the products that contained DNA forming bands.</w:t>
      </w:r>
    </w:p>
    <w:p>
      <w:pPr>
        <w:pStyle w:val="BodyText"/>
      </w:pPr>
      <w:r>
        <w:t xml:space="preserve">After ensuring that my samples had run to completion, I also wanted to quantify my culture data for any statistically significant results between my two sample groups by using my previously collected data for counting colony abundances. This data was taken after analyzing my Petria TSA plate samples, using the sample dilutions with the most amount of data.</w:t>
      </w:r>
    </w:p>
    <w:p>
      <w:pPr>
        <w:pStyle w:val="Heading2"/>
      </w:pPr>
      <w:bookmarkStart w:id="45" w:name="culture-data"/>
      <w:r>
        <w:t xml:space="preserve">Culture Data</w:t>
      </w:r>
      <w:bookmarkEnd w:id="45"/>
    </w:p>
    <w:p>
      <w:pPr>
        <w:pStyle w:val="Heading3"/>
      </w:pPr>
      <w:bookmarkStart w:id="46" w:name="culture-data-colony-100x-box-plot"/>
      <w:r>
        <w:t xml:space="preserve">Culture Data Colony 100x Box Plot</w:t>
      </w:r>
      <w:bookmarkEnd w:id="46"/>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of colony abundances at different sites, 100x dilution. Despite a higher median number of colonies from Nursing Students versus Regular Students, the mean numbers of colonies were not significantly different between the two sites (Wilcox p = 0.1908, fail to reject the null hypothesis)</w:t>
      </w:r>
    </w:p>
    <w:p>
      <w:pPr>
        <w:pStyle w:val="BodyText"/>
      </w:pPr>
      <w:r>
        <w:t xml:space="preserve">From this collected data, I used a box plot to see the average and any outliers within my data. I also used a statistical test in order to determine how statistically significant my results were. This would allow me to make a confident conclusion as to how to interpret my 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26</w:t>
            </w:r>
          </w:p>
        </w:tc>
        <w:tc>
          <w:p>
            <w:pPr>
              <w:pStyle w:val="Compact"/>
              <w:jc w:val="right"/>
            </w:pPr>
            <w:r>
              <w:t xml:space="preserve">0.1907755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I also wanted to look at the different types of morphotypes that appeared from each sample. Using a different variable other than colony abundances was important as colony morphotypes is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Colony morphotypes can also be used to identify different species for physiological and genetic purposes</w:t>
      </w:r>
      <w:r>
        <w:t xml:space="preserve"> </w:t>
      </w:r>
      <w:r>
        <w:t xml:space="preserve">(Lebaron</w:t>
      </w:r>
      <w:r>
        <w:t xml:space="preserve"> </w:t>
      </w:r>
      <w:r>
        <w:rPr>
          <w:i/>
        </w:rPr>
        <w:t xml:space="preserve">et al.</w:t>
      </w:r>
      <w:r>
        <w:t xml:space="preserve">, 1998)</w:t>
      </w:r>
      <w:r>
        <w:t xml:space="preserve">.</w:t>
      </w:r>
    </w:p>
    <w:p>
      <w:pPr>
        <w:pStyle w:val="Heading2"/>
      </w:pPr>
      <w:bookmarkStart w:id="48" w:name="culture-data-morphotype-100x-box-plot"/>
      <w:r>
        <w:t xml:space="preserve">Culture Data Morphotype 100x Box Plot</w:t>
      </w:r>
      <w:bookmarkEnd w:id="48"/>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showing the number of morphotypes from the two different sites.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Boxplots from culture data show that while the number of colonies between the two groups (Group A - Nursing, Group B - Regular) were not significantly (p = 0.1908, Figure 2), the difference of the number of morphotypes suggest evidence of rejecting the null hypothesis due to p = 0.05 (Figure 3). This provides evidence that there the higher number of morphotypes within Group B (regular college students) in comparison to Group A (nursing students) is statistically significant.</w:t>
      </w:r>
    </w:p>
    <w:p>
      <w:pPr>
        <w:pStyle w:val="Heading2"/>
      </w:pPr>
      <w:bookmarkStart w:id="50" w:name="sequencing"/>
      <w:r>
        <w:t xml:space="preserve">Sequencing</w:t>
      </w:r>
      <w:bookmarkEnd w:id="50"/>
    </w:p>
    <w:p>
      <w:pPr>
        <w:pStyle w:val="FirstParagraph"/>
      </w:pPr>
      <w:r>
        <w:t xml:space="preserve">As my samples werent sent to a lab and returned as sequenced DNA files, each DNA file was analyzed as whether they had failed or ran completely. Files that ran completely were cleaned and trimmed to be adjusted. I organized my data into a table in order to properly categorize and document the edits that were made to each successful sequence.</w:t>
      </w:r>
    </w:p>
    <w:p>
      <w:pPr>
        <w:pStyle w:val="Heading2"/>
      </w:pPr>
      <w:bookmarkStart w:id="51" w:name="table-for-each-of-my-sequences"/>
      <w:r>
        <w:t xml:space="preserve">Table for each of my sequences</w:t>
      </w:r>
      <w:bookmarkEnd w:id="51"/>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1:</w:t>
      </w:r>
      <w:r>
        <w:t xml:space="preserve"> </w:t>
      </w:r>
      <w:r>
        <w:t xml:space="preserve">Table showing the locus of each sequence (16S), original filename of each sequence, the filename after correcting or marking as failed, its usability (useable vs unusable), length after trimming, and number of manually corrected in the remaining sequence after trimming.</w:t>
      </w:r>
    </w:p>
    <w:p>
      <w:pPr>
        <w:pStyle w:val="BodyText"/>
      </w:pPr>
      <w:r>
        <w:t xml:space="preserve">Successful sequences were 3A, 2B, and 3B. The other sequences had failed to run code (showing ’NNNN only) or had too much noise (2A). The data was then trimmed and sequenced to be ready for alignment with the outgroup</w:t>
      </w:r>
      <w:r>
        <w:t xml:space="preserve"> </w:t>
      </w:r>
      <w:r>
        <w:rPr>
          <w:i/>
        </w:rPr>
        <w:t xml:space="preserve">Thermus aquaticus</w:t>
      </w:r>
      <w:r>
        <w:t xml:space="preserve"> </w:t>
      </w:r>
      <w:r>
        <w:t xml:space="preserve">strain YT-1 16 S. Any ambiguity was manually corrected following</w:t>
      </w:r>
      <w:r>
        <w:t xml:space="preserve"> </w:t>
      </w:r>
      <w:hyperlink r:id="rId52">
        <w:r>
          <w:rPr>
            <w:rStyle w:val="Hyperlink"/>
          </w:rPr>
          <w:t xml:space="preserve">the IUPAC ambiguity code</w:t>
        </w:r>
      </w:hyperlink>
      <w:r>
        <w:t xml:space="preserve">.</w:t>
      </w:r>
    </w:p>
    <w:p>
      <w:pPr>
        <w:pStyle w:val="Heading2"/>
      </w:pPr>
      <w:bookmarkStart w:id="53" w:name="table-for-each-of-my-successful-sanger-sequences-after-blast"/>
      <w:r>
        <w:t xml:space="preserve">Table for each of my successful Sanger Sequences after BLAST</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t xml:space="preserve">Moraxella Osloensis 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t xml:space="preserve">Straphylococcus warneri 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t xml:space="preserve">Acinetobacter sp. 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2:</w:t>
      </w:r>
      <w:r>
        <w:t xml:space="preserve"> </w:t>
      </w:r>
      <w:r>
        <w:t xml:space="preserve">Table of successful Sanger Sequences after NCBI BLAST Results. This table indiccates the BLAST result metricts which include description, percent identiy, query cover, ascension and E value.</w:t>
      </w:r>
    </w:p>
    <w:p>
      <w:pPr>
        <w:pStyle w:val="BodyText"/>
      </w:pPr>
      <w:r>
        <w:t xml:space="preserve">All results from the Table were taken from NCBI Gene Bank. Each successful sequence had a high percent identity with its match found. 3A was matched with the Moraxella osloensis Strain, 2B with the</w:t>
      </w:r>
      <w:r>
        <w:t xml:space="preserve"> </w:t>
      </w:r>
      <w:r>
        <w:rPr>
          <w:i/>
        </w:rPr>
        <w:t xml:space="preserve">Straphylococcus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w:t>
      </w:r>
    </w:p>
    <w:p>
      <w:pPr>
        <w:pStyle w:val="Heading2"/>
      </w:pPr>
      <w:bookmarkStart w:id="54" w:name="phylogenies"/>
      <w:r>
        <w:t xml:space="preserve">Phylogenies</w:t>
      </w:r>
      <w:bookmarkEnd w:id="54"/>
    </w:p>
    <w:p>
      <w:pPr>
        <w:pStyle w:val="FirstParagraph"/>
      </w:pPr>
      <w:r>
        <w:t xml:space="preserve">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w:t>
      </w:r>
    </w:p>
    <w:p>
      <w:pPr>
        <w:pStyle w:val="Heading3"/>
      </w:pPr>
      <w:bookmarkStart w:id="55" w:name="phyml-phylogenetic-tree"/>
      <w:r>
        <w:t xml:space="preserve">PhyML Phylogenetic Tree</w:t>
      </w:r>
      <w:bookmarkEnd w:id="55"/>
    </w:p>
    <w:p>
      <w:pPr>
        <w:pStyle w:val="FirstParagraph"/>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4:</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57" w:name="mr.bayes-phylogenetic-tree"/>
      <w:r>
        <w:t xml:space="preserve">Mr. Bayes Phylogenetic tree</w:t>
      </w:r>
      <w:bookmarkEnd w:id="57"/>
    </w:p>
    <w:p>
      <w:pPr>
        <w:pStyle w:val="FirstParagraph"/>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BodyText"/>
      </w:pPr>
      <w:r>
        <w:t xml:space="preserve">The PhyML Tree used the parammeters of substitution model of GTR with a value of 100 Bootstraps. Mr. Bayes ran also under GTR, a rate variation of invgamma, a chain length of 1,100,000, a subsampling freq of 200, and a burn-in length of 100,000. Phylogenetic differences between the two trees are based on the placement of 2b in relation to the related 3A and 3B and the outgroup. I found that both trees strongly associate 3A and 3B together with PhyML tree’s bootstrap value of 100 and Mr. Bayes is about 0.999 (Figure 4, 5, ML bootstrap 100 ~= Bayes 0.999). While PhyML associates 2B more closely related to 3A and 3B, Mr. Bayes places 2B alongside the outgroup.</w:t>
      </w:r>
    </w:p>
    <w:p>
      <w:pPr>
        <w:pStyle w:val="Heading2"/>
      </w:pPr>
      <w:bookmarkStart w:id="59" w:name="trimmmomatic"/>
      <w:r>
        <w:t xml:space="preserve">Trimmmomatic</w:t>
      </w:r>
      <w:bookmarkEnd w:id="59"/>
    </w:p>
    <w:p>
      <w:pPr>
        <w:pStyle w:val="Heading2"/>
      </w:pPr>
      <w:bookmarkStart w:id="60" w:name="blast-analysis"/>
      <w:r>
        <w:t xml:space="preserve">BLAST analysis</w:t>
      </w:r>
      <w:bookmarkEnd w:id="60"/>
    </w:p>
    <w:p>
      <w:pPr>
        <w:pStyle w:val="Heading1"/>
      </w:pPr>
      <w:bookmarkStart w:id="61" w:name="discussion"/>
      <w:r>
        <w:t xml:space="preserve">Discussion</w:t>
      </w:r>
      <w:bookmarkEnd w:id="61"/>
    </w:p>
    <w:p>
      <w:pPr>
        <w:pStyle w:val="Heading2"/>
      </w:pPr>
      <w:bookmarkStart w:id="62" w:name="summary"/>
      <w:r>
        <w:t xml:space="preserve">Summary</w:t>
      </w:r>
      <w:bookmarkEnd w:id="62"/>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 However, my data suggested that there was no difference in the number of colonies found between the two groups (Figure 2), but there was statistical evidence indicating that there was a difference in the number of morphotypes with the colonies (Figure 3). Interestingly, I also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provides some closure that Nursing students, at least the University of San Francisco, have much better safety precaution in comparison to regular college students.</w:t>
      </w:r>
    </w:p>
    <w:p>
      <w:pPr>
        <w:pStyle w:val="Heading2"/>
      </w:pPr>
      <w:bookmarkStart w:id="63" w:name="interpretation-and-taxa"/>
      <w:r>
        <w:t xml:space="preserve">Interpretation and Taxa</w:t>
      </w:r>
      <w:bookmarkEnd w:id="63"/>
    </w:p>
    <w:p>
      <w:pPr>
        <w:pStyle w:val="FirstParagraph"/>
      </w:pPr>
      <w:r>
        <w:t xml:space="preserve">From my evidence found in Figure 3, it can be interpreted that there are many more types of bacteria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2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4, 5, ML bootstrap 100 ~= Bayes 0.999). While PhyML associates 2B more closely related to 3A and 3B, Mr. Bayes places 2B alongside the outgroup. This can be better interpreted through understanding the epidemiology of exactly the bacteria that most matched my data from the NCBI genebank BLAST tool was. I found that the</w:t>
      </w:r>
      <w:r>
        <w:t xml:space="preserve"> </w:t>
      </w:r>
      <w:r>
        <w:rPr>
          <w:i/>
        </w:rPr>
        <w:t xml:space="preserve">Staphylococcus warneri</w:t>
      </w:r>
      <w:r>
        <w:t xml:space="preserve"> </w:t>
      </w:r>
      <w:r>
        <w:t xml:space="preserve">strain most matched my sample 2B, 3B as the Acinetobacter sp. 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it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 **Acinetobacter* 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SPO2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and bacteriophages T7 and T5</w:t>
      </w:r>
      <w:r>
        <w:t xml:space="preserve"> </w:t>
      </w:r>
      <w:r>
        <w:t xml:space="preserve">(Delarue</w:t>
      </w:r>
      <w:r>
        <w:t xml:space="preserve"> </w:t>
      </w:r>
      <w:r>
        <w:rPr>
          <w:i/>
        </w:rPr>
        <w:t xml:space="preserve">et al.</w:t>
      </w:r>
      <w:r>
        <w:t xml:space="preserve">, 1990)</w:t>
      </w:r>
      <w:r>
        <w:t xml:space="preserve">. Thus, this shared homology with this bacteriophage that Delarue et. al looked at, also indicated a link between Staphyloccocus and</w:t>
      </w:r>
      <w:r>
        <w:t xml:space="preserve"> </w:t>
      </w:r>
      <w:r>
        <w:rPr>
          <w:i/>
        </w:rPr>
        <w:t xml:space="preserve">Thermus aquaticus</w:t>
      </w:r>
      <w:r>
        <w:t xml:space="preserve">. From this study, the correct taxa from my data are seen within my Mr. Bayes phylogenetic tree (Figure 5).</w:t>
      </w:r>
    </w:p>
    <w:p>
      <w:pPr>
        <w:pStyle w:val="Heading2"/>
      </w:pPr>
      <w:bookmarkStart w:id="64" w:name="error-analysis"/>
      <w:r>
        <w:t xml:space="preserve">Error Analysis</w:t>
      </w:r>
      <w:bookmarkEnd w:id="64"/>
    </w:p>
    <w:p>
      <w:pPr>
        <w:pStyle w:val="FirstParagraph"/>
      </w:pPr>
      <w:r>
        <w:t xml:space="preserve">Due to the low number of actual sequencing DNA, it can be interpreted that there may have been something wrong during collection, extraction, PCR protocol, or even sequencing and everything in between (Table 1).</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ie fragments that migrate on top of each other during electrophoresis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Heading1"/>
      </w:pPr>
      <w:bookmarkStart w:id="65" w:name="sources-cited"/>
      <w:r>
        <w:t xml:space="preserve">Sources Cited</w:t>
      </w:r>
      <w:bookmarkEnd w:id="65"/>
    </w:p>
    <w:bookmarkStart w:id="82" w:name="refs"/>
    <w:bookmarkStart w:id="66"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66"/>
    <w:bookmarkStart w:id="67"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67"/>
    <w:bookmarkStart w:id="68"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68"/>
    <w:bookmarkStart w:id="69"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69"/>
    <w:bookmarkStart w:id="70"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70"/>
    <w:bookmarkStart w:id="71"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71"/>
    <w:bookmarkStart w:id="72"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72"/>
    <w:bookmarkStart w:id="73"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73"/>
    <w:bookmarkStart w:id="74"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74"/>
    <w:bookmarkStart w:id="75"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75"/>
    <w:bookmarkStart w:id="76"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76"/>
    <w:bookmarkStart w:id="77"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77"/>
    <w:bookmarkStart w:id="78"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78"/>
    <w:bookmarkStart w:id="79"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79"/>
    <w:bookmarkStart w:id="80"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80"/>
    <w:bookmarkStart w:id="81"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4" Target="media/rId44.jp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52"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52"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morphotypes found in the cell phones of regular college students in comparison to nursing college students despite contagious bacteria found in both groups confirms the benefit of implemented phone-sanitizing protocols in hospitals</dc:title>
  <dc:creator>Angela Jocson</dc:creator>
  <cp:keywords/>
  <dcterms:created xsi:type="dcterms:W3CDTF">2019-11-17T08:28:32Z</dcterms:created>
  <dcterms:modified xsi:type="dcterms:W3CDTF">2019-11-17T08:28:32Z</dcterms:modified>
</cp:coreProperties>
</file>