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88.png" ContentType="image/png"/>
  <Override PartName="/word/media/rId66.png" ContentType="image/png"/>
  <Override PartName="/word/media/rId68.png" ContentType="image/png"/>
  <Override PartName="/word/media/rId86.png" ContentType="image/png"/>
  <Override PartName="/word/media/rId90.png" ContentType="image/png"/>
  <Override PartName="/word/media/rId84.png" ContentType="image/png"/>
  <Override PartName="/word/media/rId85.png" ContentType="image/png"/>
  <Override PartName="/word/media/rId61.jpg" ContentType="image/jpeg"/>
  <Override PartName="/word/media/rId63.jpg" ContentType="image/jpeg"/>
  <Override PartName="/word/media/rId76.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our fingers are also present on our own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The constant handling of our cell phones is what makes it an easy breeding place for the transmission of microorganisms</w:t>
      </w:r>
      <w:r>
        <w:t xml:space="preserve"> </w:t>
      </w:r>
      <w:r>
        <w:t xml:space="preserve">(Goldblatt</w:t>
      </w:r>
      <w:r>
        <w:t xml:space="preserve"> </w:t>
      </w:r>
      <w:r>
        <w:rPr>
          <w:i/>
        </w:rPr>
        <w:t xml:space="preserve">et al.</w:t>
      </w:r>
      <w:r>
        <w:t xml:space="preserve">, 2007)</w:t>
      </w:r>
      <w:r>
        <w:t xml:space="preserve">.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 Another study (Borer et. al) looked at</w:t>
      </w:r>
      <w:r>
        <w:t xml:space="preserve"> </w:t>
      </w:r>
      <w:r>
        <w:rPr>
          <w:i/>
        </w:rPr>
        <w:t xml:space="preserve">Acinetobacter</w:t>
      </w:r>
      <w:r>
        <w:t xml:space="preserve"> </w:t>
      </w:r>
      <w:r>
        <w:t xml:space="preserve">spp. as an endemic bacteria prone to causing infection within hospitals in Israel. They found a significant percentage of cell phones and hands were contaminated with</w:t>
      </w:r>
      <w:r>
        <w:t xml:space="preserve"> </w:t>
      </w:r>
      <w:r>
        <w:rPr>
          <w:i/>
        </w:rPr>
        <w:t xml:space="preserve">Acinetobacter</w:t>
      </w:r>
      <w:r>
        <w:t xml:space="preserve"> </w:t>
      </w:r>
      <w:r>
        <w:t xml:space="preserve">spp. and that cross-contamination between hands, cell phones, and patients occurred</w:t>
      </w:r>
      <w:r>
        <w:t xml:space="preserve"> </w:t>
      </w:r>
      <w:r>
        <w:t xml:space="preserve">(Borer</w:t>
      </w:r>
      <w:r>
        <w:t xml:space="preserve"> </w:t>
      </w:r>
      <w:r>
        <w:rPr>
          <w:i/>
        </w:rPr>
        <w:t xml:space="preserve">et al.</w:t>
      </w:r>
      <w:r>
        <w:t xml:space="preserve">, 2005)</w:t>
      </w:r>
      <w:r>
        <w:t xml:space="preserve">. A similar study by Arora et. al, also looked at cell phones from both clinical and non-clinical hospital departments which confirmed the presence of harmful bacteria such as</w:t>
      </w:r>
      <w:r>
        <w:t xml:space="preserve"> </w:t>
      </w:r>
      <w:r>
        <w:rPr>
          <w:i/>
        </w:rPr>
        <w:t xml:space="preserve">E. coli</w:t>
      </w:r>
      <w:r>
        <w:t xml:space="preserve"> </w:t>
      </w:r>
      <w:r>
        <w:t xml:space="preserve">and</w:t>
      </w:r>
      <w:r>
        <w:t xml:space="preserve"> </w:t>
      </w:r>
      <w:r>
        <w:rPr>
          <w:i/>
        </w:rPr>
        <w:t xml:space="preserve">Staphylococcus aureus</w:t>
      </w:r>
      <w:r>
        <w:t xml:space="preserve"> </w:t>
      </w:r>
      <w:r>
        <w:t xml:space="preserve">(Arora</w:t>
      </w:r>
      <w:r>
        <w:t xml:space="preserve"> </w:t>
      </w:r>
      <w:r>
        <w:rPr>
          <w:i/>
        </w:rPr>
        <w:t xml:space="preserve">et al.</w:t>
      </w:r>
      <w:r>
        <w:t xml:space="preserve">, 2009)</w:t>
      </w:r>
      <w:r>
        <w:t xml:space="preserve">. Thus, there is a question as to whether all hospitals should be enforcing a sanitation protocol, regardless of direct patient contact.</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w:t>
      </w:r>
      <w:r>
        <w:t xml:space="preserve"> </w:t>
      </w:r>
      <w:r>
        <w:t xml:space="preserve">(Sadat-Ali</w:t>
      </w:r>
      <w:r>
        <w:t xml:space="preserve"> </w:t>
      </w:r>
      <w:r>
        <w:rPr>
          <w:i/>
        </w:rPr>
        <w:t xml:space="preserve">et al.</w:t>
      </w:r>
      <w:r>
        <w:t xml:space="preserve">, 2010)</w:t>
      </w:r>
      <w:r>
        <w:t xml:space="preserve">. In the United States, the reported cost of HAI in 2002 was around 100,000 deaths and costs $20 billion yearly</w:t>
      </w:r>
      <w:r>
        <w:t xml:space="preserve"> </w:t>
      </w:r>
      <w:r>
        <w:t xml:space="preserve">(Sadat-Ali</w:t>
      </w:r>
      <w:r>
        <w:t xml:space="preserve"> </w:t>
      </w:r>
      <w:r>
        <w:rPr>
          <w:i/>
        </w:rPr>
        <w:t xml:space="preserve">et al.</w:t>
      </w:r>
      <w:r>
        <w:t xml:space="preserve">, 2010)</w:t>
      </w:r>
      <w:r>
        <w:t xml:space="preserve">.</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simple decontamination with 70% alcohol was effective in minimizing bacterial contamination on the mobile phones of health care workers</w:t>
      </w:r>
      <w:r>
        <w:t xml:space="preserve"> </w:t>
      </w:r>
      <w:r>
        <w:t xml:space="preserve">(Gashaw</w:t>
      </w:r>
      <w:r>
        <w:t xml:space="preserve"> </w:t>
      </w:r>
      <w:r>
        <w:rPr>
          <w:i/>
        </w:rPr>
        <w:t xml:space="preserve">et al.</w:t>
      </w:r>
      <w:r>
        <w:t xml:space="preserve">, 2014)</w:t>
      </w:r>
      <w:r>
        <w:t xml:space="preserve">. Both studies insist that appropriate infection prevention measures on mobile phones should be taken to minimize any potential risks due to such high rates of contamination</w:t>
      </w:r>
      <w:r>
        <w:t xml:space="preserve"> </w:t>
      </w:r>
      <w:r>
        <w:t xml:space="preserve">(Gashaw</w:t>
      </w:r>
      <w:r>
        <w:t xml:space="preserve"> </w:t>
      </w:r>
      <w:r>
        <w:rPr>
          <w:i/>
        </w:rPr>
        <w:t xml:space="preserve">et al.</w:t>
      </w:r>
      <w:r>
        <w:t xml:space="preserve">, 2014)</w:t>
      </w:r>
      <w:r>
        <w:t xml:space="preserve">. Finally, Beckstrom et. al (2013) looked at cell phones within the sterility of a NICU and found that all cell phones demonstrated bacterial contamination and 90% had the same bacteria on the cell phone and their cleaned hands</w:t>
      </w:r>
      <w:r>
        <w:t xml:space="preserve"> </w:t>
      </w:r>
      <w:r>
        <w:t xml:space="preserve">(Beckstrom</w:t>
      </w:r>
      <w:r>
        <w:t xml:space="preserve"> </w:t>
      </w:r>
      <w:r>
        <w:rPr>
          <w:i/>
        </w:rPr>
        <w:t xml:space="preserve">et al.</w:t>
      </w:r>
      <w:r>
        <w:t xml:space="preserve">, 2013)</w:t>
      </w:r>
      <w:r>
        <w:t xml:space="preserve">. Interestingly, they found only 38% cleaned their cell phones at least weekly</w:t>
      </w:r>
      <w:r>
        <w:t xml:space="preserve"> </w:t>
      </w:r>
      <w:r>
        <w:t xml:space="preserve">(Beckstrom</w:t>
      </w:r>
      <w:r>
        <w:t xml:space="preserve"> </w:t>
      </w:r>
      <w:r>
        <w:rPr>
          <w:i/>
        </w:rPr>
        <w:t xml:space="preserve">et al.</w:t>
      </w:r>
      <w:r>
        <w:t xml:space="preserve">, 2013)</w:t>
      </w:r>
      <w:r>
        <w:t xml:space="preserv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I also specified students in comparison to University staff as another study, Kawo et. al, found that from 35 mobile phones taken from both staff and students the results showed that students had the highest overall mean aerobic mesophilic bacterial counts</w:t>
      </w:r>
      <w:r>
        <w:t xml:space="preserve"> </w:t>
      </w:r>
      <w:r>
        <w:t xml:space="preserve">(Kawo and Musa, 2013)</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In contrast with my Culture data, I was able to re-sequence all my samples and compare them with my results from my Sanger data. I found that 2B tested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3B for</w:t>
      </w:r>
      <w:r>
        <w:t xml:space="preserve"> </w:t>
      </w:r>
      <w:r>
        <w:rPr>
          <w:i/>
        </w:rPr>
        <w:t xml:space="preserve">Corynebacterium accolens</w:t>
      </w:r>
      <w:r>
        <w:t xml:space="preserve">, and 3A for</w:t>
      </w:r>
      <w:r>
        <w:t xml:space="preserve"> </w:t>
      </w:r>
      <w:r>
        <w:rPr>
          <w:i/>
        </w:rPr>
        <w:t xml:space="preserve">Petrocodon jingxiensis</w:t>
      </w:r>
      <w:r>
        <w:t xml:space="preserve">. Despite these changes, I also found these bacterial species found between my two groups were still just as infectious. They were also just as infectious as the species identified in my culture data. From my DADA results, I re-confirmed the results from my culture data as my culture free data also showed a higher diversity in Regular Student phones in comparison to the Nursing students. The difference in my two groups indicates that while cell phones of nursing students are more sanitary in number of bacterial growth and colony,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the successful preparation of each sample, I also used gel electrophoresis and Qubit Fluorometers. Following sequencing, I edited and trimmed my successful sequences using Geneious Prime V.4 2019.2 or bash scripts For further analysis, I created phylogenetic trees and BLAST to sort out my data and support my results. Finally, I used DADA2 and phyloseq to de-noise and compile my sequences into a logical table for further analysis and visualization and to create logical plots and figures to confirm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have a minimum length of 140 was disregarded. After proper editing, my fastq files were converted into fasta files for better encoding of the BLAST results. BLAST was run on the terminal for all Illumina sequences and summarized via the cut function</w:t>
      </w:r>
      <w:r>
        <w:t xml:space="preserve"> </w:t>
      </w:r>
      <w:r>
        <w:t xml:space="preserve">(Madden, 2013)</w:t>
      </w:r>
      <w:r>
        <w:t xml:space="preserve">.</w:t>
      </w:r>
    </w:p>
    <w:p>
      <w:pPr>
        <w:pStyle w:val="Heading2"/>
      </w:pPr>
      <w:bookmarkStart w:id="41" w:name="dada2-and-phyloseq"/>
      <w:r>
        <w:t xml:space="preserve">DADA2 and Phyloseq</w:t>
      </w:r>
      <w:bookmarkEnd w:id="41"/>
    </w:p>
    <w:p>
      <w:pPr>
        <w:pStyle w:val="FirstParagraph"/>
      </w:pPr>
      <w:r>
        <w:t xml:space="preserve">For analysis of my Illumina results, I used 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2013)</w:t>
      </w:r>
      <w:r>
        <w:t xml:space="preserve">. From my Illumina-sequenced paired-end fastq files, DADA2 created a sequence variant (SV) table to record the number of times each ribosomal sequence variant (SV) was observed in each sample. In order to get my data to be ready for DADA2, I first filtered, and trimmed, and dereplicated my data</w:t>
      </w:r>
      <w:r>
        <w:t xml:space="preserve"> </w:t>
      </w:r>
      <w:r>
        <w:t xml:space="preserve">(Callahan, 2019)</w:t>
      </w:r>
      <w:r>
        <w:t xml:space="preserve">. This was done using my error models to look at my sequences’ error rates that were visualized into plots comparing error frequency versus quality score. Following these error models, I de-noised each of my sequences. One of my DADA parameters was to remove and disregard any sequences shorter than 50 because I would not be able to assign their taxonomy. After, the paired reads were then merged and constructed into the final expected sequence table. Within this table, each of my samples were assigned different taxonomy which were then imported into the phyloseq R package for the analysis. Using Phyloseq, I created various tables and groups for an easier visualization of my different phyla, groups, taxa, etc.</w:t>
      </w:r>
    </w:p>
    <w:p>
      <w:pPr>
        <w:pStyle w:val="Heading1"/>
      </w:pPr>
      <w:bookmarkStart w:id="42" w:name="results"/>
      <w:r>
        <w:t xml:space="preserve">Results</w:t>
      </w:r>
      <w:bookmarkEnd w:id="42"/>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morphotypes on the cell phones of Regular Students compared to Nursing Students using a Wilcox test. Further sequence analysis involved BLAST results and phylogenetic trees (PhyML and Mr. Bayes) to compare the phylogeny of my sequenced bacteria. I also looked at my DADA results to compare with my BLAST results for Illumina Sequencing. In total, I found that while each sample had tested for bacterial growth, Regular students had greater phylum abundance and diversity in comparison to Nursing Students. However, I also found that the bacteria in Nursing Students still had bacteria that were just as infectious as the bacteria found in Regular Students. The type of bacteria found differed between my Sanger, BLAST, and DADA, however, the bacteria that was found throughout was</w:t>
      </w:r>
      <w:r>
        <w:t xml:space="preserve"> </w:t>
      </w:r>
      <w:r>
        <w:rPr>
          <w:i/>
        </w:rPr>
        <w:t xml:space="preserve">Actinobacter</w:t>
      </w:r>
      <w:r>
        <w:t xml:space="preserve"> </w:t>
      </w:r>
      <w:r>
        <w:t xml:space="preserve">spp., which is an infectious bacteria commonly found within hospials.</w:t>
      </w:r>
    </w:p>
    <w:p>
      <w:pPr>
        <w:pStyle w:val="Heading2"/>
      </w:pPr>
      <w:bookmarkStart w:id="43" w:name="qubit-data-and-gel-electrophoresis"/>
      <w:r>
        <w:t xml:space="preserve">Qubit Data and Gel Electrophoresis</w:t>
      </w:r>
      <w:bookmarkEnd w:id="43"/>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confirm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4" w:name="culture-data"/>
      <w:r>
        <w:t xml:space="preserve">Culture Data</w:t>
      </w:r>
      <w:bookmarkEnd w:id="44"/>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 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5" w:name="sequencing"/>
      <w:r>
        <w:t xml:space="preserve">Sequencing</w:t>
      </w:r>
      <w:bookmarkEnd w:id="45"/>
    </w:p>
    <w:p>
      <w:pPr>
        <w:pStyle w:val="Heading3"/>
      </w:pPr>
      <w:bookmarkStart w:id="46" w:name="sanger-sequencing"/>
      <w:r>
        <w:t xml:space="preserve">Sanger Sequencing</w:t>
      </w:r>
      <w:bookmarkEnd w:id="46"/>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7" w:name="illumina-sequences"/>
      <w:r>
        <w:t xml:space="preserve">Illumina Sequences</w:t>
      </w:r>
      <w:bookmarkEnd w:id="47"/>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(Table 6). However, a lot of my samples had tested for uncultured</w:t>
      </w:r>
      <w:r>
        <w:t xml:space="preserve"> </w:t>
      </w:r>
      <w:r>
        <w:rPr>
          <w:i/>
        </w:rPr>
        <w:t xml:space="preserve">bacterium</w:t>
      </w:r>
      <w:r>
        <w:t xml:space="preserve"> </w:t>
      </w:r>
      <w:r>
        <w:t xml:space="preserve">as their first or second highest bacterium number. Samples 2a and 2b had uncultured</w:t>
      </w:r>
      <w:r>
        <w:t xml:space="preserve"> </w:t>
      </w:r>
      <w:r>
        <w:rPr>
          <w:i/>
        </w:rPr>
        <w:t xml:space="preserve">bacterium</w:t>
      </w:r>
      <w:r>
        <w:t xml:space="preserve"> </w:t>
      </w:r>
      <w:r>
        <w:t xml:space="preserve">as their highest identified taxa while Samples 1a, 1b, 3a, 3b all had a specific highest identified bacteria. Sample 1a tested for</w:t>
      </w:r>
      <w:r>
        <w:t xml:space="preserve"> </w:t>
      </w:r>
      <w:r>
        <w:rPr>
          <w:i/>
        </w:rPr>
        <w:t xml:space="preserve">Acinetobacter ursingii</w:t>
      </w:r>
      <w:r>
        <w:t xml:space="preserve"> </w:t>
      </w:r>
      <w:r>
        <w:t xml:space="preserve">and it was interesting that each sequence except for AJ-2b_S65_L001_R1_001 tested for a type of</w:t>
      </w:r>
      <w:r>
        <w:t xml:space="preserve"> </w:t>
      </w:r>
      <w:r>
        <w:rPr>
          <w:i/>
        </w:rPr>
        <w:t xml:space="preserve">Acinetobacter</w:t>
      </w:r>
      <w:r>
        <w:t xml:space="preserve">. Sample 1b tested for</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w:t>
      </w:r>
    </w:p>
    <w:p>
      <w:pPr>
        <w:pStyle w:val="Heading2"/>
      </w:pPr>
      <w:bookmarkStart w:id="48" w:name="abundance-and-diversity-dada-results"/>
      <w:r>
        <w:t xml:space="preserve">Abundance and Diversity (DADA Results)</w:t>
      </w:r>
      <w:bookmarkEnd w:id="48"/>
    </w:p>
    <w:p>
      <w:pPr>
        <w:pStyle w:val="FirstParagraph"/>
      </w:pPr>
      <w:r>
        <w:t xml:space="preserve">I also used DADA to analyze my data by running my Illumina sequences through an R Markdown pipeline. My DADA results identified 92 bimeras out of 675 input sequences. My data was compiled into a markdown table indicating the amount denoised, sequence table, and non-chimeric reads (Table 7). My amount of nucleotides denoised were also the same number for the sequence table reads for all samples. The non-chimeric reads for 1A: 7497 2A: 10309, 3A: 7124, 1B: 13674, 2B: 13831, 3B: 11852. From denoising, I found the sequence variants for each unique sequences with 1A: 62 sequence variants from 3960 input unique sequences, 1B: 99 from 4877, 2A: 83 from 3652 input, 2B: 131 from 7057, 3A: 124 from 6374, 3B: 100 from 5696. Any sequence that was below 50 reads was disregarded because DADA would not be able ot assign taxonomy.</w:t>
      </w:r>
    </w:p>
    <w:p>
      <w:pPr>
        <w:pStyle w:val="BodyText"/>
      </w:pPr>
      <w:r>
        <w:t xml:space="preserve">I also wanted to confirm the different phyla within my sample groups. I found that (Figure 7). Thus, I compared the sum abundance of the phyla between the sample groups and found that</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were the most common among all sample groups (~25,000). Next was the amount of</w:t>
      </w:r>
      <w:r>
        <w:t xml:space="preserve"> </w:t>
      </w:r>
      <w:r>
        <w:rPr>
          <w:i/>
        </w:rPr>
        <w:t xml:space="preserve">Firmicutes</w:t>
      </w:r>
      <w:r>
        <w:t xml:space="preserve"> </w:t>
      </w:r>
      <w:r>
        <w:t xml:space="preserve">which was around ~18000 and actinobacteria which was around ~20,000 (Figure 7). In order to compare the sum abundance between just my two sample groups, I found that Nursing students contained a higher sum abundance value across all phyla in comparison to the Regular Students (Figure 8). I also used the mean abundance for reference, in comparison to sum abundance, to show any variance and outliers (Figure 9). From the mean abundance, I reconfirmed that Regular students had a greater mean abundance across all found phyla (Figure 10). To confirm this diversity measure, I also looked at the Alpha Diversity Measure of my samples in comparison to Simpson and Shannon’s indexes (Figure 11). From this data set, I found that Nursing students had less diversity measure in comparison to its Simpson control due to the added outlying data (Figure 11) (Nursing was around ~0.9). I also wanted to look at my similarity index and found that it is mostly all negative control (~0.4) (Figure 11). From Shannon’s similarity index, the Group type for the BLAST command with Regular students having the most amount of diversity index and Simpson having the highest.</w:t>
      </w:r>
    </w:p>
    <w:p>
      <w:pPr>
        <w:pStyle w:val="Heading2"/>
      </w:pPr>
      <w:bookmarkStart w:id="49" w:name="any-error"/>
      <w:r>
        <w:t xml:space="preserve">Any Error</w:t>
      </w:r>
      <w:bookmarkEnd w:id="49"/>
    </w:p>
    <w:p>
      <w:pPr>
        <w:pStyle w:val="FirstParagraph"/>
      </w:pPr>
      <w:r>
        <w:t xml:space="preserve">A bar graph was created to identify which strands from my samples did not run successfully (Figure 12). Runs that were not satisfactory, like %GC, were disregarded. I found that # my sample 3b tamed me from popping off</w:t>
      </w:r>
      <w:r>
        <w:t xml:space="preserve"> </w:t>
      </w:r>
      <w:r>
        <w:t xml:space="preserve">“</w:t>
      </w:r>
      <w:r>
        <w:t xml:space="preserve">Non-Available</w:t>
      </w:r>
      <w:r>
        <w:t xml:space="preserve">”</w:t>
      </w:r>
      <w:r>
        <w:t xml:space="preserve"> </w:t>
      </w:r>
      <w:r>
        <w:t xml:space="preserve">I</w:t>
      </w:r>
    </w:p>
    <w:p>
      <w:pPr>
        <w:pStyle w:val="Heading1"/>
      </w:pPr>
      <w:bookmarkStart w:id="50" w:name="discussion"/>
      <w:r>
        <w:t xml:space="preserve">Discussion</w:t>
      </w:r>
      <w:bookmarkEnd w:id="50"/>
    </w:p>
    <w:p>
      <w:pPr>
        <w:pStyle w:val="Heading2"/>
      </w:pPr>
      <w:bookmarkStart w:id="51" w:name="summary"/>
      <w:r>
        <w:t xml:space="preserve">Summary</w:t>
      </w:r>
      <w:bookmarkEnd w:id="51"/>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fewer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I concluded that Nursing students had fewer bacteria growth and diversity than Regular students.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was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As Sample 1a tested for</w:t>
      </w:r>
      <w:r>
        <w:t xml:space="preserve"> </w:t>
      </w:r>
      <w:r>
        <w:rPr>
          <w:i/>
        </w:rPr>
        <w:t xml:space="preserve">Acinetobacter ursingii</w:t>
      </w:r>
      <w:r>
        <w:t xml:space="preserve">, Sample 1b had</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each of these bacterium are known to create an airborne infection usually found within hospitals.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From my DADA results, did not differ too much from my findings. I confirmed that</w:t>
      </w:r>
      <w:r>
        <w:t xml:space="preserve"> </w:t>
      </w:r>
      <w:r>
        <w:rPr>
          <w:i/>
        </w:rPr>
        <w:t xml:space="preserve">Acinetobacter</w:t>
      </w:r>
      <w:r>
        <w:t xml:space="preserve">, a type of</w:t>
      </w:r>
      <w:r>
        <w:t xml:space="preserve"> </w:t>
      </w:r>
      <w:r>
        <w:rPr>
          <w:i/>
        </w:rPr>
        <w:t xml:space="preserve">Proteobacteria</w:t>
      </w:r>
      <w:r>
        <w:t xml:space="preserve">, was present in all my samples. Iinterestingly, I also found</w:t>
      </w:r>
      <w:r>
        <w:t xml:space="preserve"> </w:t>
      </w:r>
      <w:r>
        <w:rPr>
          <w:i/>
        </w:rPr>
        <w:t xml:space="preserve">Actinobacter</w:t>
      </w:r>
      <w:r>
        <w:t xml:space="preserve">, which was also frequently seen in my Cutlure Free and Culture data.</w:t>
      </w:r>
      <w:r>
        <w:t xml:space="preserve"> </w:t>
      </w:r>
      <w:r>
        <w:rPr>
          <w:i/>
        </w:rPr>
        <w:t xml:space="preserve">Actinobacter</w:t>
      </w:r>
      <w:r>
        <w:t xml:space="preserve"> </w:t>
      </w:r>
      <w:r>
        <w:t xml:space="preserve">is a known infectious disease seen most frequently within a hospital setting.</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fewer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52" w:name="interpretation-of-sanger-sequencing-and-taxa"/>
      <w:r>
        <w:t xml:space="preserve">Interpretation of Sanger Sequencing and Taxa</w:t>
      </w:r>
      <w:bookmarkEnd w:id="52"/>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clean their phones more frequently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3" w:name="interpretation-of-illumina-sequencing-and-taxa"/>
      <w:r>
        <w:t xml:space="preserve">Interpretation of Illumina Sequencing and Taxa</w:t>
      </w:r>
      <w:bookmarkEnd w:id="53"/>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(Table 6).</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w:t>
      </w:r>
      <w:r>
        <w:t xml:space="preserve">(Table 6). 3B did not test for an</w:t>
      </w:r>
      <w:r>
        <w:t xml:space="preserve"> </w:t>
      </w:r>
      <w:r>
        <w:rPr>
          <w:i/>
        </w:rPr>
        <w:t xml:space="preserve">Acinetobacter sp. strain</w:t>
      </w:r>
      <w:r>
        <w:t xml:space="preserve">, but instead a</w:t>
      </w:r>
      <w:r>
        <w:t xml:space="preserve"> </w:t>
      </w:r>
      <w:r>
        <w:rPr>
          <w:i/>
        </w:rPr>
        <w:t xml:space="preserve">Corynebacterium accolens</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Petrocodon jingxiensis</w:t>
      </w:r>
      <w:r>
        <w:t xml:space="preserve">. However, these bacterial species are still just as infectious as the species identified in Sanger Sequencing. This contradicts previous studies that Nursing Students had less infectious pathogens within their cell phones, as the common genera amongst all samples were all potentially infectious.</w:t>
      </w:r>
    </w:p>
    <w:p>
      <w:pPr>
        <w:pStyle w:val="BodyText"/>
      </w:pPr>
      <w:r>
        <w:t xml:space="preserve">I am much more confident in this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was that all sequences for the Regular Students (1B, 2B, 3B) did test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4" w:name="diversity-and-abundance-dada-results"/>
      <w:r>
        <w:t xml:space="preserve">Diversity and Abundance (DADA Results)</w:t>
      </w:r>
      <w:bookmarkEnd w:id="54"/>
    </w:p>
    <w:p>
      <w:pPr>
        <w:pStyle w:val="FirstParagraph"/>
      </w:pPr>
      <w:r>
        <w:t xml:space="preserve">To confirm my previous studies on diversity and abundance, I used DADA and my phyloseq object in order to compare and create figures using my melted phyloseq sample data. In order to compare my data with my BLAST results, I wanted to analyze the different phylum within all of my sample groups. I found that a majority of all my samples had tested for the phyla:</w:t>
      </w:r>
      <w:r>
        <w:t xml:space="preserve"> </w:t>
      </w:r>
      <w:r>
        <w:rPr>
          <w:i/>
        </w:rPr>
        <w:t xml:space="preserve">Actinobacteria, Firmicutes,</w:t>
      </w:r>
      <w:r>
        <w:t xml:space="preserve"> </w:t>
      </w:r>
      <w:r>
        <w:t xml:space="preserve">and</w:t>
      </w:r>
      <w:r>
        <w:t xml:space="preserve"> </w:t>
      </w:r>
      <w:r>
        <w:rPr>
          <w:i/>
        </w:rPr>
        <w:t xml:space="preserve">Proteobacteria</w:t>
      </w:r>
      <w:r>
        <w:t xml:space="preserve"> </w:t>
      </w:r>
      <w:r>
        <w:t xml:space="preserve">(Figure 7). From these major samples, Regular Students showcased the most amount of abundance for each group. This figure also gave a better idea as to what types of bacteria were present in comparison to my BLAST results. Like the phyla of my BLAST results, the three phyla that were present within the entire data set were also all equally infectious (Figure 7). This data set also confirmed my BLAST results that</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form of</w:t>
      </w:r>
      <w:r>
        <w:t xml:space="preserve"> </w:t>
      </w:r>
      <w:r>
        <w:rPr>
          <w:i/>
        </w:rPr>
        <w:t xml:space="preserve">Acinetobacteria</w:t>
      </w:r>
      <w:r>
        <w:t xml:space="preserve">) is heavily present in all samples. This shows that neither Nursing Students and Regular Students have a more/ more likely to get infectious disease. Instead, it was important to focus on the fact that Regular Students were more likely to get bacteria based on the fact that they sanitize less.</w:t>
      </w:r>
    </w:p>
    <w:p>
      <w:pPr>
        <w:pStyle w:val="BodyText"/>
      </w:pPr>
      <w:r>
        <w:t xml:space="preserve">I created both a sum and mean abundance plot to compare the two sample groups together (Nursing vs Regular Students) with any variance or outliers. I found out that mean abundance had indicated that Regular Students had a larger mean/ range of its data set, while the sum indicated that there was more abundance within Nursing Students (Figure 9, 10). I regarded that the mean abundance was more statistically significant as it accounts for more variance within the data set. As previously stated, my negative controls were always unreliable due to the use of</w:t>
      </w:r>
      <w:r>
        <w:t xml:space="preserve"> </w:t>
      </w:r>
      <w:r>
        <w:rPr>
          <w:i/>
        </w:rPr>
        <w:t xml:space="preserve">E. coli</w:t>
      </w:r>
      <w:r>
        <w:t xml:space="preserve"> </w:t>
      </w:r>
      <w:r>
        <w:t xml:space="preserve">as a model, thus I looked solely at my collected samples and ignored any negative controls. Most of my data within Figure 11 showcase that Regular Students tend to have a more diverse, both statistically/ numerically, amount of bacteria growing within their cell phone screens. Using a Shannon test, I found the diversity index of Regular Student’s to be the highest as the outlier has an Alpha Diversity Measure of around 4.0 (Figure 11). In contrast, I used a Simpson test to look at diversity and also found that Regular students had a higher outlier Alpha Diversity Measure of ~0.98 (Figure 11). This data confirms the idea that Regular Students contain a higher, more diverse amount of different bacteria within their cell phone screens.</w:t>
      </w:r>
    </w:p>
    <w:p>
      <w:pPr>
        <w:pStyle w:val="Heading2"/>
      </w:pPr>
      <w:bookmarkStart w:id="55" w:name="the-next-steps"/>
      <w:r>
        <w:t xml:space="preserve">The Next Steps</w:t>
      </w:r>
      <w:bookmarkEnd w:id="55"/>
    </w:p>
    <w:p>
      <w:pPr>
        <w:pStyle w:val="FirstParagraph"/>
      </w:pPr>
      <w:r>
        <w:t xml:space="preserve">My final results confirm that cell phones are a good breeding ground for dangerous bacteria, which can potentially harm an already sick patient. This instills the fear that the medical professionals, entrusted to take care of the patients, can actually be the ones that are making them sick. Thus, my study can advocate for the enforcement of phone-sanitizing protocols within hospitals or other health-related facilities to avoid future contamination or HAIs. This can encourage hospitals to take the necessary approach of either strictly enforcing a sanitation protocol or banning cell phones from the hospital floor in general. Either way, cell phones, moreover cell phone screens, have been proven to be a good place for dangerous bacteria to manifest on and should be kept away from patients who could be easily susceptible to these bacteria. Carrying forward, I would like to confirm my results by looking at the cell phones of patient’s family members who frequent hospitals just as much as health care professionals, but also are not obligated to clean their phones. I hope that from these studies, both health care professionals and regular people will understand how harmful a common cell phone can be to a patient fighting for their life.</w:t>
      </w:r>
    </w:p>
    <w:p>
      <w:pPr>
        <w:pStyle w:val="Heading2"/>
      </w:pPr>
      <w:bookmarkStart w:id="56" w:name="error-analysis"/>
      <w:r>
        <w:t xml:space="preserve">Error Analysis</w:t>
      </w:r>
      <w:bookmarkEnd w:id="56"/>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w:t>
      </w:r>
      <w:r>
        <w:t xml:space="preserve">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the command line (such as improper git pushes and cloning) or simple program errors from R Markdown or any other terminal commands. I had noted that within different samples, some phyla were never identified (Figure 12). This can confirm the possibility of contamination within my part or a problem with the way my phyloseq object or R markdown decided on assigning different phyla. Other issues can be due to poor server connection when attempting to access the Tule sever within the University of San Francisco Network.</w:t>
      </w:r>
    </w:p>
    <w:p>
      <w:pPr>
        <w:pStyle w:val="Heading1"/>
      </w:pPr>
      <w:bookmarkStart w:id="57" w:name="tables-and-figures"/>
      <w:r>
        <w:t xml:space="preserve">Tables and Figures</w:t>
      </w:r>
      <w:bookmarkEnd w:id="57"/>
    </w:p>
    <w:p>
      <w:pPr>
        <w:pStyle w:val="Heading2"/>
      </w:pPr>
      <w:bookmarkStart w:id="58" w:name="table-of-quibit-data"/>
      <w:r>
        <w:t xml:space="preserve">Table of Quibit Data</w:t>
      </w:r>
      <w:bookmarkEnd w:id="58"/>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9" w:name="gel-electrophoresis-image"/>
      <w:r>
        <w:t xml:space="preserve">Gel Electrophoresis Image</w:t>
      </w:r>
      <w:bookmarkEnd w:id="59"/>
    </w:p>
    <w:p>
      <w:pPr>
        <w:pStyle w:val="Heading3"/>
      </w:pPr>
      <w:bookmarkStart w:id="60" w:name="image-for-culture-data"/>
      <w:r>
        <w:t xml:space="preserve">Image for Culture Data</w:t>
      </w:r>
      <w:bookmarkEnd w:id="60"/>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61"/>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62" w:name="image-for-culture-free-data"/>
      <w:r>
        <w:t xml:space="preserve">Image for Culture Free Data</w:t>
      </w:r>
      <w:bookmarkEnd w:id="62"/>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63"/>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64" w:name="culture-data-1"/>
      <w:r>
        <w:t xml:space="preserve">Culture Data</w:t>
      </w:r>
      <w:bookmarkEnd w:id="64"/>
    </w:p>
    <w:p>
      <w:pPr>
        <w:pStyle w:val="Heading3"/>
      </w:pPr>
      <w:bookmarkStart w:id="65" w:name="culture-data-colony-100x-box-plot"/>
      <w:r>
        <w:t xml:space="preserve">Culture Data Colony 100x Box Plot</w:t>
      </w:r>
      <w:bookmarkEnd w:id="65"/>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bl>
    <w:p>
      <w:pPr>
        <w:pStyle w:val="Heading3"/>
      </w:pPr>
      <w:bookmarkStart w:id="67" w:name="culture-data-morphotype-100x-box-plot"/>
      <w:r>
        <w:t xml:space="preserve">Culture Data Morphotype 100x Box Plot</w:t>
      </w:r>
      <w:bookmarkEnd w:id="67"/>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between the two sample groups.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9" w:name="sequencing-1"/>
      <w:r>
        <w:t xml:space="preserve">Sequencing</w:t>
      </w:r>
      <w:bookmarkEnd w:id="69"/>
    </w:p>
    <w:p>
      <w:pPr>
        <w:pStyle w:val="Heading2"/>
      </w:pPr>
      <w:bookmarkStart w:id="70" w:name="table-for-each-of-my-sequences"/>
      <w:r>
        <w:t xml:space="preserve">Table for each of my sequences</w:t>
      </w:r>
      <w:bookmarkEnd w:id="70"/>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71" w:name="table-for-each-of-my-successful-sanger-sequences-after-blast"/>
      <w:r>
        <w:t xml:space="preserve">Table for each of my successful Sanger Sequences after BLAST</w:t>
      </w:r>
      <w:bookmarkEnd w:id="7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72" w:name="phylogenies"/>
      <w:r>
        <w:t xml:space="preserve">Phylogenies</w:t>
      </w:r>
      <w:bookmarkEnd w:id="72"/>
    </w:p>
    <w:p>
      <w:pPr>
        <w:pStyle w:val="Heading3"/>
      </w:pPr>
      <w:bookmarkStart w:id="73" w:name="phyml-phylogenetic-tree"/>
      <w:r>
        <w:t xml:space="preserve">PhyML Phylogenetic Tree</w:t>
      </w:r>
      <w:bookmarkEnd w:id="73"/>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75" w:name="mr.bayes-phylogenetic-tree"/>
      <w:r>
        <w:t xml:space="preserve">Mr. Bayes Phylogenetic tree</w:t>
      </w:r>
      <w:bookmarkEnd w:id="75"/>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7" w:name="fastqc-report"/>
      <w:r>
        <w:t xml:space="preserve">FastQC Report</w:t>
      </w:r>
      <w:bookmarkEnd w:id="77"/>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8" w:name="trimmmomatic-data"/>
      <w:r>
        <w:t xml:space="preserve">Trimmmomatic Data</w:t>
      </w:r>
      <w:bookmarkEnd w:id="78"/>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9" w:name="command-line-blast-analysis"/>
      <w:r>
        <w:t xml:space="preserve">Command-line BLAST Analysis</w:t>
      </w:r>
      <w:bookmarkEnd w:id="79"/>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left"/>
            </w:pPr>
            <w:r>
              <w:t xml:space="preserve">Highest Identified Blast Result</w:t>
            </w:r>
          </w:p>
        </w:tc>
        <w:tc>
          <w:tcPr>
            <w:tcBorders>
              <w:bottom w:val="single"/>
            </w:tcBorders>
            <w:vAlign w:val="bottom"/>
          </w:tcPr>
          <w:p>
            <w:pPr>
              <w:pStyle w:val="Compact"/>
              <w:jc w:val="left"/>
            </w:pPr>
            <w:r>
              <w:t xml:space="preserve">Second Blast Result</w:t>
            </w:r>
          </w:p>
        </w:tc>
      </w:tr>
      <w:tr>
        <w:tc>
          <w:p>
            <w:pPr>
              <w:pStyle w:val="Compact"/>
              <w:jc w:val="center"/>
            </w:pPr>
            <w:r>
              <w:t xml:space="preserve">AJ-1a_S61_L001_R1_001</w:t>
            </w:r>
          </w:p>
        </w:tc>
        <w:tc>
          <w:p>
            <w:pPr>
              <w:pStyle w:val="Compact"/>
              <w:jc w:val="left"/>
            </w:pPr>
            <w:r>
              <w:rPr>
                <w:i/>
              </w:rPr>
              <w:t xml:space="preserve">Acinetobacter ursingii</w:t>
            </w:r>
          </w:p>
        </w:tc>
        <w:tc>
          <w:p>
            <w:pPr>
              <w:pStyle w:val="Compact"/>
              <w:jc w:val="left"/>
            </w:pPr>
            <w:r>
              <w:rPr>
                <w:i/>
              </w:rPr>
              <w:t xml:space="preserve">Massilia timonae</w:t>
            </w:r>
          </w:p>
        </w:tc>
      </w:tr>
      <w:tr>
        <w:tc>
          <w:p>
            <w:pPr>
              <w:pStyle w:val="Compact"/>
              <w:jc w:val="center"/>
            </w:pPr>
            <w:r>
              <w:t xml:space="preserve">AJ-1b_S64_L001_R1_001</w:t>
            </w:r>
          </w:p>
        </w:tc>
        <w:tc>
          <w:p>
            <w:pPr>
              <w:pStyle w:val="Compact"/>
              <w:jc w:val="left"/>
            </w:pPr>
            <w:r>
              <w:rPr>
                <w:i/>
              </w:rPr>
              <w:t xml:space="preserve">Haemophilus parainfluenza</w:t>
            </w:r>
          </w:p>
        </w:tc>
        <w:tc>
          <w:p>
            <w:pPr>
              <w:pStyle w:val="Compact"/>
              <w:jc w:val="left"/>
            </w:pPr>
            <w:r>
              <w:rPr>
                <w:i/>
              </w:rPr>
              <w:t xml:space="preserve">Streptococcus pneumoniae</w:t>
            </w:r>
          </w:p>
        </w:tc>
      </w:tr>
      <w:tr>
        <w:tc>
          <w:p>
            <w:pPr>
              <w:pStyle w:val="Compact"/>
              <w:jc w:val="center"/>
            </w:pPr>
            <w:r>
              <w:t xml:space="preserve">AJ-2a_S62_L001_R1_001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Acinetobacter tandoii</w:t>
            </w:r>
          </w:p>
        </w:tc>
      </w:tr>
      <w:tr>
        <w:tc>
          <w:p>
            <w:pPr>
              <w:pStyle w:val="Compact"/>
              <w:jc w:val="center"/>
            </w:pPr>
            <w:r>
              <w:t xml:space="preserve">AJ-2b_S65_L001_R1_001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Streptococcus pnuemoniae</w:t>
            </w:r>
          </w:p>
        </w:tc>
      </w:tr>
      <w:tr>
        <w:tc>
          <w:p>
            <w:pPr>
              <w:pStyle w:val="Compact"/>
              <w:jc w:val="center"/>
            </w:pPr>
            <w:r>
              <w:t xml:space="preserve">AJ-3a_S63_L001_R1_001</w:t>
            </w:r>
          </w:p>
        </w:tc>
        <w:tc>
          <w:p>
            <w:pPr>
              <w:pStyle w:val="Compact"/>
              <w:jc w:val="left"/>
            </w:pPr>
            <w:r>
              <w:rPr>
                <w:i/>
              </w:rPr>
              <w:t xml:space="preserve">Petrocodon jingxiensis</w:t>
            </w:r>
          </w:p>
        </w:tc>
        <w:tc>
          <w:p>
            <w:pPr>
              <w:pStyle w:val="Compact"/>
              <w:jc w:val="left"/>
            </w:pPr>
            <w:r>
              <w:t xml:space="preserve">uncultured</w:t>
            </w:r>
            <w:r>
              <w:t xml:space="preserve"> </w:t>
            </w:r>
            <w:r>
              <w:rPr>
                <w:i/>
              </w:rPr>
              <w:t xml:space="preserve">bacterium</w:t>
            </w:r>
          </w:p>
        </w:tc>
      </w:tr>
      <w:tr>
        <w:tc>
          <w:p>
            <w:pPr>
              <w:pStyle w:val="Compact"/>
              <w:jc w:val="center"/>
            </w:pPr>
            <w:r>
              <w:t xml:space="preserve">AJ-3b_S66_L001_R1_001</w:t>
            </w:r>
          </w:p>
        </w:tc>
        <w:tc>
          <w:p>
            <w:pPr>
              <w:pStyle w:val="Compact"/>
              <w:jc w:val="left"/>
            </w:pPr>
            <w:r>
              <w:rPr>
                <w:i/>
              </w:rPr>
              <w:t xml:space="preserve">Corynebacterium accolens</w:t>
            </w:r>
          </w:p>
        </w:tc>
        <w:tc>
          <w:p>
            <w:pPr>
              <w:pStyle w:val="Compact"/>
              <w:jc w:val="left"/>
            </w:pPr>
            <w:r>
              <w:t xml:space="preserve">uncultured</w:t>
            </w:r>
            <w:r>
              <w:t xml:space="preserve"> </w:t>
            </w:r>
            <w:r>
              <w:rPr>
                <w:i/>
              </w:rPr>
              <w:t xml:space="preserve">bacterium</w:t>
            </w:r>
          </w:p>
        </w:tc>
      </w:tr>
    </w:tbl>
    <w:p>
      <w:pPr>
        <w:pStyle w:val="BodyText"/>
      </w:pPr>
      <w:r>
        <w:rPr>
          <w:b/>
        </w:rPr>
        <w:t xml:space="preserve">Table 6:</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80" w:name="dada-markdown-table"/>
      <w:r>
        <w:t xml:space="preserve">DADA Markdown Table</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Denoised</w:t>
            </w:r>
          </w:p>
        </w:tc>
        <w:tc>
          <w:tcPr>
            <w:tcBorders>
              <w:bottom w:val="single"/>
            </w:tcBorders>
            <w:vAlign w:val="bottom"/>
          </w:tcPr>
          <w:p>
            <w:pPr>
              <w:pStyle w:val="Compact"/>
              <w:jc w:val="right"/>
            </w:pPr>
            <w:r>
              <w:t xml:space="preserve">Sequence Table</w:t>
            </w:r>
          </w:p>
        </w:tc>
        <w:tc>
          <w:tcPr>
            <w:tcBorders>
              <w:bottom w:val="single"/>
            </w:tcBorders>
            <w:vAlign w:val="bottom"/>
          </w:tcPr>
          <w:p>
            <w:pPr>
              <w:pStyle w:val="Compact"/>
              <w:jc w:val="right"/>
            </w:pPr>
            <w:r>
              <w:t xml:space="preserve">Non-chimeric</w:t>
            </w:r>
          </w:p>
        </w:tc>
      </w:tr>
      <w:tr>
        <w:tc>
          <w:p>
            <w:pPr>
              <w:pStyle w:val="Compact"/>
              <w:jc w:val="left"/>
            </w:pPr>
            <w:r>
              <w:t xml:space="preserve">AJ-1a_S61_L001_R1_001_filt</w:t>
            </w:r>
          </w:p>
        </w:tc>
        <w:tc>
          <w:p>
            <w:pPr>
              <w:pStyle w:val="Compact"/>
              <w:jc w:val="right"/>
            </w:pPr>
            <w:r>
              <w:t xml:space="preserve">8251</w:t>
            </w:r>
          </w:p>
        </w:tc>
        <w:tc>
          <w:p>
            <w:pPr>
              <w:pStyle w:val="Compact"/>
              <w:jc w:val="right"/>
            </w:pPr>
            <w:r>
              <w:t xml:space="preserve">8251</w:t>
            </w:r>
          </w:p>
        </w:tc>
        <w:tc>
          <w:p>
            <w:pPr>
              <w:pStyle w:val="Compact"/>
              <w:jc w:val="right"/>
            </w:pPr>
            <w:r>
              <w:t xml:space="preserve">7497</w:t>
            </w:r>
          </w:p>
        </w:tc>
      </w:tr>
      <w:tr>
        <w:tc>
          <w:p>
            <w:pPr>
              <w:pStyle w:val="Compact"/>
              <w:jc w:val="left"/>
            </w:pPr>
            <w:r>
              <w:t xml:space="preserve">AJ-1b_S64_L001_R1_001_filt</w:t>
            </w:r>
          </w:p>
        </w:tc>
        <w:tc>
          <w:p>
            <w:pPr>
              <w:pStyle w:val="Compact"/>
              <w:jc w:val="right"/>
            </w:pPr>
            <w:r>
              <w:t xml:space="preserve">11412</w:t>
            </w:r>
          </w:p>
        </w:tc>
        <w:tc>
          <w:p>
            <w:pPr>
              <w:pStyle w:val="Compact"/>
              <w:jc w:val="right"/>
            </w:pPr>
            <w:r>
              <w:t xml:space="preserve">11412</w:t>
            </w:r>
          </w:p>
        </w:tc>
        <w:tc>
          <w:p>
            <w:pPr>
              <w:pStyle w:val="Compact"/>
              <w:jc w:val="right"/>
            </w:pPr>
            <w:r>
              <w:t xml:space="preserve">10309</w:t>
            </w:r>
          </w:p>
        </w:tc>
      </w:tr>
      <w:tr>
        <w:tc>
          <w:p>
            <w:pPr>
              <w:pStyle w:val="Compact"/>
              <w:jc w:val="left"/>
            </w:pPr>
            <w:r>
              <w:t xml:space="preserve">AJ-2a_S62_L001_R1_001_filt</w:t>
            </w:r>
          </w:p>
        </w:tc>
        <w:tc>
          <w:p>
            <w:pPr>
              <w:pStyle w:val="Compact"/>
              <w:jc w:val="right"/>
            </w:pPr>
            <w:r>
              <w:t xml:space="preserve">7594</w:t>
            </w:r>
          </w:p>
        </w:tc>
        <w:tc>
          <w:p>
            <w:pPr>
              <w:pStyle w:val="Compact"/>
              <w:jc w:val="right"/>
            </w:pPr>
            <w:r>
              <w:t xml:space="preserve">7594</w:t>
            </w:r>
          </w:p>
        </w:tc>
        <w:tc>
          <w:p>
            <w:pPr>
              <w:pStyle w:val="Compact"/>
              <w:jc w:val="right"/>
            </w:pPr>
            <w:r>
              <w:t xml:space="preserve">7124</w:t>
            </w:r>
          </w:p>
        </w:tc>
      </w:tr>
      <w:tr>
        <w:tc>
          <w:p>
            <w:pPr>
              <w:pStyle w:val="Compact"/>
              <w:jc w:val="left"/>
            </w:pPr>
            <w:r>
              <w:t xml:space="preserve">AJ-2b_S65_L001_R1_001_filt</w:t>
            </w:r>
          </w:p>
        </w:tc>
        <w:tc>
          <w:p>
            <w:pPr>
              <w:pStyle w:val="Compact"/>
              <w:jc w:val="right"/>
            </w:pPr>
            <w:r>
              <w:t xml:space="preserve">15580</w:t>
            </w:r>
          </w:p>
        </w:tc>
        <w:tc>
          <w:p>
            <w:pPr>
              <w:pStyle w:val="Compact"/>
              <w:jc w:val="right"/>
            </w:pPr>
            <w:r>
              <w:t xml:space="preserve">15580</w:t>
            </w:r>
          </w:p>
        </w:tc>
        <w:tc>
          <w:p>
            <w:pPr>
              <w:pStyle w:val="Compact"/>
              <w:jc w:val="right"/>
            </w:pPr>
            <w:r>
              <w:t xml:space="preserve">13674</w:t>
            </w:r>
          </w:p>
        </w:tc>
      </w:tr>
      <w:tr>
        <w:tc>
          <w:p>
            <w:pPr>
              <w:pStyle w:val="Compact"/>
              <w:jc w:val="left"/>
            </w:pPr>
            <w:r>
              <w:t xml:space="preserve">AJ-3a_S63_L001_R1_001_filt</w:t>
            </w:r>
          </w:p>
        </w:tc>
        <w:tc>
          <w:p>
            <w:pPr>
              <w:pStyle w:val="Compact"/>
              <w:jc w:val="right"/>
            </w:pPr>
            <w:r>
              <w:t xml:space="preserve">14798</w:t>
            </w:r>
          </w:p>
        </w:tc>
        <w:tc>
          <w:p>
            <w:pPr>
              <w:pStyle w:val="Compact"/>
              <w:jc w:val="right"/>
            </w:pPr>
            <w:r>
              <w:t xml:space="preserve">14798</w:t>
            </w:r>
          </w:p>
        </w:tc>
        <w:tc>
          <w:p>
            <w:pPr>
              <w:pStyle w:val="Compact"/>
              <w:jc w:val="right"/>
            </w:pPr>
            <w:r>
              <w:t xml:space="preserve">13831</w:t>
            </w:r>
          </w:p>
        </w:tc>
      </w:tr>
      <w:tr>
        <w:tc>
          <w:p>
            <w:pPr>
              <w:pStyle w:val="Compact"/>
              <w:jc w:val="left"/>
            </w:pPr>
            <w:r>
              <w:t xml:space="preserve">AJ-3b_S66_L001_R1_001_filt</w:t>
            </w:r>
          </w:p>
        </w:tc>
        <w:tc>
          <w:p>
            <w:pPr>
              <w:pStyle w:val="Compact"/>
              <w:jc w:val="right"/>
            </w:pPr>
            <w:r>
              <w:t xml:space="preserve">12934</w:t>
            </w:r>
          </w:p>
        </w:tc>
        <w:tc>
          <w:p>
            <w:pPr>
              <w:pStyle w:val="Compact"/>
              <w:jc w:val="right"/>
            </w:pPr>
            <w:r>
              <w:t xml:space="preserve">12934</w:t>
            </w:r>
          </w:p>
        </w:tc>
        <w:tc>
          <w:p>
            <w:pPr>
              <w:pStyle w:val="Compact"/>
              <w:jc w:val="right"/>
            </w:pPr>
            <w:r>
              <w:t xml:space="preserve">11852</w:t>
            </w:r>
          </w:p>
        </w:tc>
      </w:tr>
    </w:tbl>
    <w:p>
      <w:pPr>
        <w:pStyle w:val="BodyText"/>
      </w:pPr>
      <w:r>
        <w:rPr>
          <w:b/>
        </w:rPr>
        <w:t xml:space="preserve">Table 7:</w:t>
      </w:r>
      <w:r>
        <w:t xml:space="preserve"> </w:t>
      </w:r>
      <w:r>
        <w:t xml:space="preserve">Table showing the results from the DADA pipeline. Samples are the filtered fully-sequenced Illumina samples. Indicated are the amount of nucleotides denoised, the sequence table, and the number non-chimeric reads for each sequence (n = 6).</w:t>
      </w:r>
    </w:p>
    <w:p>
      <w:pPr>
        <w:pStyle w:val="Heading2"/>
      </w:pPr>
      <w:bookmarkStart w:id="81" w:name="phylum-abundance"/>
      <w:r>
        <w:t xml:space="preserve">Phylum Abundance</w:t>
      </w:r>
      <w:bookmarkEnd w:id="81"/>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bundance-phyla-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Plot bar comparing the abundance of different phyla within the samples of Nursing Students and Regular Students. Both positive and negative controls are also present for comparison.</w:t>
      </w:r>
    </w:p>
    <w:p>
      <w:pPr>
        <w:pStyle w:val="Heading3"/>
      </w:pPr>
      <w:bookmarkStart w:id="83" w:name="sum-abundance-of-phyla"/>
      <w:r>
        <w:t xml:space="preserve">Sum Abundance of Phyla</w:t>
      </w:r>
      <w:bookmarkEnd w:id="83"/>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sum-abundance-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Plot bar showing the SUM abundance of the different phyla between all Sample Groups: Nursing Students versus Regular students. This also includes both Negative and Positive controls.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abundance-sample-groups-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showing the difference between the sum abundance of phyla within solely sample groups: Nursing Student (red) versus Regular Student (blue). This does not include any Positive or Negative control samples. Phyla is listed below on the x axis and sum abundance is soon as the y-value.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mean-abudance-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plot showing the difference between the mean abundance of phyla within samples groups. The two groups are: Nursing Student (red) versus Regular Student (blue). This allows for a general idea of the range for the mean abundance.</w:t>
      </w:r>
    </w:p>
    <w:p>
      <w:pPr>
        <w:pStyle w:val="Heading2"/>
      </w:pPr>
      <w:bookmarkStart w:id="87" w:name="diversity-measurement"/>
      <w:r>
        <w:t xml:space="preserve">Diversity Measurement</w:t>
      </w:r>
      <w:bookmarkEnd w:id="87"/>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lpha-diversity-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Boxplot showing the Alpha Diversity Measure within types of samples. This uses both a Shannon’s and Simpson’s index to quantify phyloseq object. Simpson is a similarity index while Shannon is a diversity index in contrast.</w:t>
      </w:r>
    </w:p>
    <w:p>
      <w:pPr>
        <w:pStyle w:val="Heading2"/>
      </w:pPr>
      <w:bookmarkStart w:id="89" w:name="errors"/>
      <w:r>
        <w:t xml:space="preserve">Errors</w:t>
      </w:r>
      <w:bookmarkEnd w:id="8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non-availble-1.png" id="0"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Specific samples from either group: Nursing Student (a) and Regular Students (b) that have a</w:t>
      </w:r>
      <w:r>
        <w:t xml:space="preserve"> </w:t>
      </w:r>
      <w:r>
        <w:t xml:space="preserve">“</w:t>
      </w:r>
      <w:r>
        <w:t xml:space="preserve">Not Available</w:t>
      </w:r>
      <w:r>
        <w:t xml:space="preserve">”</w:t>
      </w:r>
      <w:r>
        <w:t xml:space="preserve"> </w:t>
      </w:r>
      <w:r>
        <w:t xml:space="preserve">phyla type. These samples are either considered a fail or a machine error.</w:t>
      </w:r>
    </w:p>
    <w:p>
      <w:pPr>
        <w:pStyle w:val="Heading1"/>
      </w:pPr>
      <w:bookmarkStart w:id="91" w:name="sources-cited"/>
      <w:r>
        <w:t xml:space="preserve">Sources Cited</w:t>
      </w:r>
      <w:bookmarkEnd w:id="91"/>
    </w:p>
    <w:bookmarkStart w:id="124" w:name="refs"/>
    <w:bookmarkStart w:id="92"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92"/>
    <w:bookmarkStart w:id="93"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93"/>
    <w:bookmarkStart w:id="94" w:name="ref-beckstrom2013surveillance"/>
    <w:p>
      <w:pPr>
        <w:pStyle w:val="Bibliography"/>
      </w:pPr>
      <w:r>
        <w:t xml:space="preserve">Beckstrom,A.</w:t>
      </w:r>
      <w:r>
        <w:t xml:space="preserve"> </w:t>
      </w:r>
      <w:r>
        <w:rPr>
          <w:i/>
        </w:rPr>
        <w:t xml:space="preserve">et al.</w:t>
      </w:r>
      <w:r>
        <w:t xml:space="preserve"> </w:t>
      </w:r>
      <w:r>
        <w:t xml:space="preserve">(2013) Surveillance study of bacterial contamination of the parent’s cell phone in the nicu and the effectiveness of an anti-microbial gel in reducing transmission to the hands.</w:t>
      </w:r>
      <w:r>
        <w:t xml:space="preserve"> </w:t>
      </w:r>
      <w:r>
        <w:rPr>
          <w:i/>
        </w:rPr>
        <w:t xml:space="preserve">Journal of Perinatology</w:t>
      </w:r>
      <w:r>
        <w:t xml:space="preserve">,</w:t>
      </w:r>
      <w:r>
        <w:t xml:space="preserve"> </w:t>
      </w:r>
      <w:r>
        <w:rPr>
          <w:b/>
        </w:rPr>
        <w:t xml:space="preserve">33</w:t>
      </w:r>
      <w:r>
        <w:t xml:space="preserve">, 960.</w:t>
      </w:r>
    </w:p>
    <w:bookmarkEnd w:id="94"/>
    <w:bookmarkStart w:id="95"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95"/>
    <w:bookmarkStart w:id="96" w:name="ref-borer2005cell"/>
    <w:p>
      <w:pPr>
        <w:pStyle w:val="Bibliography"/>
      </w:pPr>
      <w:r>
        <w:t xml:space="preserve">Borer,A.</w:t>
      </w:r>
      <w:r>
        <w:t xml:space="preserve"> </w:t>
      </w:r>
      <w:r>
        <w:rPr>
          <w:i/>
        </w:rPr>
        <w:t xml:space="preserve">et al.</w:t>
      </w:r>
      <w:r>
        <w:t xml:space="preserve"> </w:t>
      </w:r>
      <w:r>
        <w:t xml:space="preserve">(2005) Cell phones and acinetobacter transmission.</w:t>
      </w:r>
      <w:r>
        <w:t xml:space="preserve"> </w:t>
      </w:r>
      <w:r>
        <w:rPr>
          <w:i/>
        </w:rPr>
        <w:t xml:space="preserve">Emerging infectious diseases</w:t>
      </w:r>
      <w:r>
        <w:t xml:space="preserve">,</w:t>
      </w:r>
      <w:r>
        <w:t xml:space="preserve"> </w:t>
      </w:r>
      <w:r>
        <w:rPr>
          <w:b/>
        </w:rPr>
        <w:t xml:space="preserve">11</w:t>
      </w:r>
      <w:r>
        <w:t xml:space="preserve">, 1160.</w:t>
      </w:r>
    </w:p>
    <w:bookmarkEnd w:id="96"/>
    <w:bookmarkStart w:id="97" w:name="ref-dada2pipelinetutorial"/>
    <w:p>
      <w:pPr>
        <w:pStyle w:val="Bibliography"/>
      </w:pPr>
      <w:r>
        <w:t xml:space="preserve">Callahan,B. (2019)</w:t>
      </w:r>
      <w:r>
        <w:t xml:space="preserve"> </w:t>
      </w:r>
      <w:r>
        <w:rPr>
          <w:i/>
        </w:rPr>
        <w:t xml:space="preserve">DADA2 Pipeline Tutorial (1.12)</w:t>
      </w:r>
      <w:r>
        <w:t xml:space="preserve">.</w:t>
      </w:r>
    </w:p>
    <w:bookmarkEnd w:id="97"/>
    <w:bookmarkStart w:id="98"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98"/>
    <w:bookmarkStart w:id="99"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99"/>
    <w:bookmarkStart w:id="100"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100"/>
    <w:bookmarkStart w:id="101"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101"/>
    <w:bookmarkStart w:id="102" w:name="ref-gashaw2014prevalence"/>
    <w:p>
      <w:pPr>
        <w:pStyle w:val="Bibliography"/>
      </w:pPr>
      <w:r>
        <w:t xml:space="preserve">Gashaw,M.</w:t>
      </w:r>
      <w:r>
        <w:t xml:space="preserve"> </w:t>
      </w:r>
      <w:r>
        <w:rPr>
          <w:i/>
        </w:rPr>
        <w:t xml:space="preserve">et al.</w:t>
      </w:r>
      <w:r>
        <w:t xml:space="preserve"> </w:t>
      </w:r>
      <w:r>
        <w:t xml:space="preserve">(2014) Prevalence and antimicrobial susceptibility pattern of bacteria isolated from mobile phones of health care professionals working in gondar town health centers.</w:t>
      </w:r>
      <w:r>
        <w:t xml:space="preserve"> </w:t>
      </w:r>
      <w:r>
        <w:rPr>
          <w:i/>
        </w:rPr>
        <w:t xml:space="preserve">ISRN Public Health</w:t>
      </w:r>
      <w:r>
        <w:t xml:space="preserve">,</w:t>
      </w:r>
      <w:r>
        <w:t xml:space="preserve"> </w:t>
      </w:r>
      <w:r>
        <w:rPr>
          <w:b/>
        </w:rPr>
        <w:t xml:space="preserve">2014</w:t>
      </w:r>
      <w:r>
        <w:t xml:space="preserve">.</w:t>
      </w:r>
    </w:p>
    <w:bookmarkEnd w:id="102"/>
    <w:bookmarkStart w:id="103" w:name="ref-goldblatt2007use"/>
    <w:p>
      <w:pPr>
        <w:pStyle w:val="Bibliography"/>
      </w:pPr>
      <w:r>
        <w:t xml:space="preserve">Goldblatt,J.G.</w:t>
      </w:r>
      <w:r>
        <w:t xml:space="preserve"> </w:t>
      </w:r>
      <w:r>
        <w:rPr>
          <w:i/>
        </w:rPr>
        <w:t xml:space="preserve">et al.</w:t>
      </w:r>
      <w:r>
        <w:t xml:space="preserve"> </w:t>
      </w:r>
      <w:r>
        <w:t xml:space="preserve">(2007) Use of cellular telephones and transmission of pathogens by medical staff in new york and israel.</w:t>
      </w:r>
      <w:r>
        <w:t xml:space="preserve"> </w:t>
      </w:r>
      <w:r>
        <w:rPr>
          <w:i/>
        </w:rPr>
        <w:t xml:space="preserve">Infection Control &amp; Hospital Epidemiology</w:t>
      </w:r>
      <w:r>
        <w:t xml:space="preserve">,</w:t>
      </w:r>
      <w:r>
        <w:t xml:space="preserve"> </w:t>
      </w:r>
      <w:r>
        <w:rPr>
          <w:b/>
        </w:rPr>
        <w:t xml:space="preserve">28</w:t>
      </w:r>
      <w:r>
        <w:t xml:space="preserve">, 500–503.</w:t>
      </w:r>
    </w:p>
    <w:bookmarkEnd w:id="103"/>
    <w:bookmarkStart w:id="104"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104"/>
    <w:bookmarkStart w:id="105"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105"/>
    <w:bookmarkStart w:id="106"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106"/>
    <w:bookmarkStart w:id="107" w:name="ref-kawo2013enumeration"/>
    <w:p>
      <w:pPr>
        <w:pStyle w:val="Bibliography"/>
      </w:pPr>
      <w:r>
        <w:t xml:space="preserve">Kawo,A. and Musa,A. (2013) Enumeration, isolation and antibiotic susceptibility profile of bacteria associated with mobile cellphones in a university environment.</w:t>
      </w:r>
      <w:r>
        <w:t xml:space="preserve"> </w:t>
      </w:r>
      <w:r>
        <w:rPr>
          <w:i/>
        </w:rPr>
        <w:t xml:space="preserve">Nigerian Journal of Basic and Applied Sciences</w:t>
      </w:r>
      <w:r>
        <w:t xml:space="preserve">,</w:t>
      </w:r>
      <w:r>
        <w:t xml:space="preserve"> </w:t>
      </w:r>
      <w:r>
        <w:rPr>
          <w:b/>
        </w:rPr>
        <w:t xml:space="preserve">21</w:t>
      </w:r>
      <w:r>
        <w:t xml:space="preserve">, 39–44.</w:t>
      </w:r>
    </w:p>
    <w:bookmarkEnd w:id="107"/>
    <w:bookmarkStart w:id="108"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108"/>
    <w:bookmarkStart w:id="109"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109"/>
    <w:bookmarkStart w:id="110"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110"/>
    <w:bookmarkStart w:id="111"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111"/>
    <w:bookmarkStart w:id="112"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112"/>
    <w:bookmarkStart w:id="113"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113"/>
    <w:bookmarkStart w:id="114"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114"/>
    <w:bookmarkStart w:id="115"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115"/>
    <w:bookmarkStart w:id="116"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116"/>
    <w:bookmarkStart w:id="117"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17"/>
    <w:bookmarkStart w:id="118"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118"/>
    <w:bookmarkStart w:id="119"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119"/>
    <w:bookmarkStart w:id="120"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120"/>
    <w:bookmarkStart w:id="121"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121"/>
    <w:bookmarkStart w:id="122"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122"/>
    <w:bookmarkStart w:id="123"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2019-12-04T08:59:05Z</dcterms:created>
  <dcterms:modified xsi:type="dcterms:W3CDTF">2019-12-04T08:59:05Z</dcterms:modified>
</cp:coreProperties>
</file>