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81.png" ContentType="image/png"/>
  <Override PartName="/word/media/rId61.png" ContentType="image/png"/>
  <Override PartName="/word/media/rId62.png" ContentType="image/png"/>
  <Override PartName="/word/media/rId79.png" ContentType="image/png"/>
  <Override PartName="/word/media/rId83.png" ContentType="image/png"/>
  <Override PartName="/word/media/rId77.png" ContentType="image/png"/>
  <Override PartName="/word/media/rId78.png" ContentType="image/png"/>
  <Override PartName="/word/media/rId56.jpg" ContentType="image/jpeg"/>
  <Override PartName="/word/media/rId58.jpg" ContentType="image/jpeg"/>
  <Override PartName="/word/media/rId70.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successful preparation of each sample, I also used gel electrophoresis and Quibit Fluorometers. Following sequencing, I edited and trimmed my successful sequences using Geneious Prime V.4 2019.2 or bash scripts For further analysis, I used phylogenetic trees and BLAST to sort out my data and support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hae a minimum length of 140 was disregarded. After proper editing, my fastq files were converted into fasta files for better encoding of the BLAST results. BLAST was run on the terminal for all Illumina sequences and summarized via the cut function [madden2013blast].</w:t>
      </w:r>
    </w:p>
    <w:p>
      <w:pPr>
        <w:pStyle w:val="Heading1"/>
      </w:pPr>
      <w:bookmarkStart w:id="41" w:name="results"/>
      <w:r>
        <w:t xml:space="preserve">Results</w:t>
      </w:r>
      <w:bookmarkEnd w:id="41"/>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morphoptypes on the cell phones of Regular Students compared to Nursing Students using a Wilcox test. Further sequence analysis involved BLAST results and phylogenetic trees (PhyML and Mr. Bayes) to compare phylogeny of my sequenced bacteria. I found that while each sample had tested for bacterial growth, Regular students had greater phylum abundance and diversity in comparison to Nursing Students. However, I also found that the bacteria in Nursing Students still had bacteria that was just as infectious as the bacteria found in Regular Students.</w:t>
      </w:r>
    </w:p>
    <w:p>
      <w:pPr>
        <w:pStyle w:val="Heading2"/>
      </w:pPr>
      <w:bookmarkStart w:id="42" w:name="qubit-data-and-gel-electrophoresis"/>
      <w:r>
        <w:t xml:space="preserve">Qubit Data and Gel Electrophoresis</w:t>
      </w:r>
      <w:bookmarkEnd w:id="42"/>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confrim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3" w:name="culture-data"/>
      <w:r>
        <w:t xml:space="preserve">Culture Data</w:t>
      </w:r>
      <w:bookmarkEnd w:id="43"/>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4" w:name="sequencing"/>
      <w:r>
        <w:t xml:space="preserve">Sequencing</w:t>
      </w:r>
      <w:bookmarkEnd w:id="44"/>
    </w:p>
    <w:p>
      <w:pPr>
        <w:pStyle w:val="Heading3"/>
      </w:pPr>
      <w:bookmarkStart w:id="45" w:name="sanger-sequencing"/>
      <w:r>
        <w:t xml:space="preserve">Sanger Sequencing</w:t>
      </w:r>
      <w:bookmarkEnd w:id="45"/>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6" w:name="illumina-sequences"/>
      <w:r>
        <w:t xml:space="preserve">Illumina Sequences</w:t>
      </w:r>
      <w:bookmarkEnd w:id="46"/>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(Table 6). However, a lot of my samples had tested for uncultered</w:t>
      </w:r>
      <w:r>
        <w:t xml:space="preserve"> </w:t>
      </w:r>
      <w:r>
        <w:rPr>
          <w:i/>
        </w:rPr>
        <w:t xml:space="preserve">bacterium</w:t>
      </w:r>
      <w:r>
        <w:t xml:space="preserve"> </w:t>
      </w:r>
      <w:r>
        <w:t xml:space="preserve">as their first or second highest bacterium number. Samples 2a and 2b had uncultured</w:t>
      </w:r>
      <w:r>
        <w:t xml:space="preserve"> </w:t>
      </w:r>
      <w:r>
        <w:rPr>
          <w:i/>
        </w:rPr>
        <w:t xml:space="preserve">bacterium</w:t>
      </w:r>
      <w:r>
        <w:t xml:space="preserve"> </w:t>
      </w:r>
      <w:r>
        <w:t xml:space="preserve">as their highest identified taxa while Samples 1a, 1b, 3a, 3b all had a specific highest identified bacteria. Sample 1a tested for</w:t>
      </w:r>
      <w:r>
        <w:t xml:space="preserve"> </w:t>
      </w:r>
      <w:r>
        <w:rPr>
          <w:i/>
        </w:rPr>
        <w:t xml:space="preserve">Acinetobacter ursingii</w:t>
      </w:r>
      <w:r>
        <w:t xml:space="preserve"> </w:t>
      </w:r>
      <w:r>
        <w:t xml:space="preserve">and it was interesting that each sequence except for AJ-2b_S65_L001_R1_001 tested for a type of</w:t>
      </w:r>
      <w:r>
        <w:t xml:space="preserve"> </w:t>
      </w:r>
      <w:r>
        <w:rPr>
          <w:i/>
        </w:rPr>
        <w:t xml:space="preserve">Acinetobacter</w:t>
      </w:r>
      <w:r>
        <w:t xml:space="preserve">. Sample 1b tested for</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w:t>
      </w:r>
    </w:p>
    <w:p>
      <w:pPr>
        <w:pStyle w:val="Heading1"/>
      </w:pPr>
      <w:bookmarkStart w:id="47" w:name="discussion"/>
      <w:r>
        <w:t xml:space="preserve">Discussion</w:t>
      </w:r>
      <w:bookmarkEnd w:id="47"/>
    </w:p>
    <w:p>
      <w:pPr>
        <w:pStyle w:val="Heading2"/>
      </w:pPr>
      <w:bookmarkStart w:id="48" w:name="summary"/>
      <w:r>
        <w:t xml:space="preserve">Summary</w:t>
      </w:r>
      <w:bookmarkEnd w:id="48"/>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less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As Sample 1a tested for</w:t>
      </w:r>
      <w:r>
        <w:t xml:space="preserve"> </w:t>
      </w:r>
      <w:r>
        <w:rPr>
          <w:i/>
        </w:rPr>
        <w:t xml:space="preserve">Acinetobacter ursingii</w:t>
      </w:r>
      <w:r>
        <w:t xml:space="preserve">, Sample 1b had</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each of these bacterium are known to create an airborn infection usually found within hospitals.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49" w:name="interpretation-of-sanger-sequencing-and-taxa"/>
      <w:r>
        <w:t xml:space="preserve">Interpretation of Sanger Sequencing and Taxa</w:t>
      </w:r>
      <w:bookmarkEnd w:id="49"/>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0" w:name="interpretation-of-illumina-sequencing-and-taxa"/>
      <w:r>
        <w:t xml:space="preserve">Interpretation of Illumina Sequencing and Taxa</w:t>
      </w:r>
      <w:bookmarkEnd w:id="50"/>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(Table 6).</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w:t>
      </w:r>
      <w:r>
        <w:t xml:space="preserve">(Table 6). 3B did not test for an</w:t>
      </w:r>
      <w:r>
        <w:t xml:space="preserve"> </w:t>
      </w:r>
      <w:r>
        <w:rPr>
          <w:i/>
        </w:rPr>
        <w:t xml:space="preserve">Acinetobacter sp. strain</w:t>
      </w:r>
      <w:r>
        <w:t xml:space="preserve">, but instead a</w:t>
      </w:r>
      <w:r>
        <w:t xml:space="preserve"> </w:t>
      </w:r>
      <w:r>
        <w:rPr>
          <w:i/>
        </w:rPr>
        <w:t xml:space="preserve">Corynebacterium accolens</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Petrocodon jingxiensis</w:t>
      </w:r>
      <w:r>
        <w:t xml:space="preserve">. However, these bacterial species are still just as infectious as the species identified in Sanger Sequencing.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was that all sequences for the Regular Students (1B, 2B, 3B) did test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1" w:name="error-analysis"/>
      <w:r>
        <w:t xml:space="preserve">Error Analysis</w:t>
      </w:r>
      <w:bookmarkEnd w:id="51"/>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52" w:name="tables-and-figures"/>
      <w:r>
        <w:t xml:space="preserve">Tables and Figures</w:t>
      </w:r>
      <w:bookmarkEnd w:id="52"/>
    </w:p>
    <w:p>
      <w:pPr>
        <w:pStyle w:val="Heading2"/>
      </w:pPr>
      <w:bookmarkStart w:id="53" w:name="table-of-quibit-data"/>
      <w:r>
        <w:t xml:space="preserve">Table of Quibit Data</w:t>
      </w:r>
      <w:bookmarkEnd w:id="53"/>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4" w:name="gel-electrophoresis-image"/>
      <w:r>
        <w:t xml:space="preserve">Gel Electrophoresis Image</w:t>
      </w:r>
      <w:bookmarkEnd w:id="54"/>
    </w:p>
    <w:p>
      <w:pPr>
        <w:pStyle w:val="Heading3"/>
      </w:pPr>
      <w:bookmarkStart w:id="55" w:name="image-for-culture-data"/>
      <w:r>
        <w:t xml:space="preserve">Image for Culture Data</w:t>
      </w:r>
      <w:bookmarkEnd w:id="55"/>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56"/>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57" w:name="image-for-culture-free-data"/>
      <w:r>
        <w:t xml:space="preserve">Image for Culture Free Data</w:t>
      </w:r>
      <w:bookmarkEnd w:id="57"/>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8"/>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59" w:name="culture-data-1"/>
      <w:r>
        <w:t xml:space="preserve">Culture Data</w:t>
      </w:r>
      <w:bookmarkEnd w:id="59"/>
    </w:p>
    <w:p>
      <w:pPr>
        <w:pStyle w:val="Heading3"/>
      </w:pPr>
      <w:bookmarkStart w:id="60" w:name="culture-data-colony-100x-box-plot"/>
      <w:r>
        <w:t xml:space="preserve">Culture Data Colony 100x Box Plot</w:t>
      </w:r>
      <w:bookmarkEnd w:id="6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t xml:space="preserve">## Culture D</w:t>
            </w:r>
          </w:p>
        </w:tc>
        <w:tc>
          <w:p>
            <w:pPr>
              <w:pStyle w:val="Compact"/>
              <w:jc w:val="right"/>
            </w:pPr>
            <w:r>
              <w:t xml:space="preserve">ata Morphoty</w:t>
            </w:r>
          </w:p>
        </w:tc>
        <w:tc>
          <w:p>
            <w:pPr>
              <w:pStyle w:val="Compact"/>
              <w:jc w:val="left"/>
            </w:pPr>
            <w:r>
              <w:t xml:space="preserve">pe 100x Box Plot</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3" w:name="sequencing-1"/>
      <w:r>
        <w:t xml:space="preserve">Sequencing</w:t>
      </w:r>
      <w:bookmarkEnd w:id="63"/>
    </w:p>
    <w:p>
      <w:pPr>
        <w:pStyle w:val="Heading2"/>
      </w:pPr>
      <w:bookmarkStart w:id="64" w:name="table-for-each-of-my-sequences"/>
      <w:r>
        <w:t xml:space="preserve">Table for each of my sequences</w:t>
      </w:r>
      <w:bookmarkEnd w:id="64"/>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65" w:name="table-for-each-of-my-successful-sanger-sequences-after-blast"/>
      <w:r>
        <w:t xml:space="preserve">Table for each of my successful Sanger Sequences after BLAST</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66" w:name="phylogenies"/>
      <w:r>
        <w:t xml:space="preserve">Phylogenies</w:t>
      </w:r>
      <w:bookmarkEnd w:id="66"/>
    </w:p>
    <w:p>
      <w:pPr>
        <w:pStyle w:val="Heading3"/>
      </w:pPr>
      <w:bookmarkStart w:id="67" w:name="phyml-phylogenetic-tree"/>
      <w:r>
        <w:t xml:space="preserve">PhyML Phylogenetic Tree</w:t>
      </w:r>
      <w:bookmarkEnd w:id="67"/>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9" w:name="mr.bayes-phylogenetic-tree"/>
      <w:r>
        <w:t xml:space="preserve">Mr. Bayes Phylogenetic tree</w:t>
      </w:r>
      <w:bookmarkEnd w:id="69"/>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1" w:name="fastqc-report"/>
      <w:r>
        <w:t xml:space="preserve">FastQC Report</w:t>
      </w:r>
      <w:bookmarkEnd w:id="71"/>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2" w:name="trimmmomatic-data"/>
      <w:r>
        <w:t xml:space="preserve">Trimmmomatic Data</w:t>
      </w:r>
      <w:bookmarkEnd w:id="72"/>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3" w:name="command-line-blast-analysis"/>
      <w:r>
        <w:t xml:space="preserve">Command-line BLAST Analysis</w:t>
      </w:r>
      <w:bookmarkEnd w:id="73"/>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left"/>
            </w:pPr>
            <w:r>
              <w:t xml:space="preserve">Highest Identified Blast Result</w:t>
            </w:r>
          </w:p>
        </w:tc>
        <w:tc>
          <w:tcPr>
            <w:tcBorders>
              <w:bottom w:val="single"/>
            </w:tcBorders>
            <w:vAlign w:val="bottom"/>
          </w:tcPr>
          <w:p>
            <w:pPr>
              <w:pStyle w:val="Compact"/>
              <w:jc w:val="left"/>
            </w:pPr>
            <w:r>
              <w:t xml:space="preserve">Second Blast Result</w:t>
            </w:r>
          </w:p>
        </w:tc>
      </w:tr>
      <w:tr>
        <w:tc>
          <w:p>
            <w:pPr>
              <w:pStyle w:val="Compact"/>
              <w:jc w:val="center"/>
            </w:pPr>
            <w:r>
              <w:t xml:space="preserve">AJ-1a_S61_L001_R1_001</w:t>
            </w:r>
          </w:p>
        </w:tc>
        <w:tc>
          <w:p>
            <w:pPr>
              <w:pStyle w:val="Compact"/>
              <w:jc w:val="left"/>
            </w:pPr>
            <w:r>
              <w:rPr>
                <w:i/>
              </w:rPr>
              <w:t xml:space="preserve">Acinetobacter ursingii</w:t>
            </w:r>
          </w:p>
        </w:tc>
        <w:tc>
          <w:p>
            <w:pPr>
              <w:pStyle w:val="Compact"/>
              <w:jc w:val="left"/>
            </w:pPr>
            <w:r>
              <w:rPr>
                <w:i/>
              </w:rPr>
              <w:t xml:space="preserve">Massilia timonae</w:t>
            </w:r>
          </w:p>
        </w:tc>
      </w:tr>
      <w:tr>
        <w:tc>
          <w:p>
            <w:pPr>
              <w:pStyle w:val="Compact"/>
              <w:jc w:val="center"/>
            </w:pPr>
            <w:r>
              <w:t xml:space="preserve">AJ-1b_S64_L001_R1_001</w:t>
            </w:r>
          </w:p>
        </w:tc>
        <w:tc>
          <w:p>
            <w:pPr>
              <w:pStyle w:val="Compact"/>
              <w:jc w:val="left"/>
            </w:pPr>
            <w:r>
              <w:rPr>
                <w:i/>
              </w:rPr>
              <w:t xml:space="preserve">Haemophilus parainfluenza</w:t>
            </w:r>
          </w:p>
        </w:tc>
        <w:tc>
          <w:p>
            <w:pPr>
              <w:pStyle w:val="Compact"/>
              <w:jc w:val="left"/>
            </w:pPr>
            <w:r>
              <w:rPr>
                <w:i/>
              </w:rPr>
              <w:t xml:space="preserve">Streptococcus pneumoniae</w:t>
            </w:r>
          </w:p>
        </w:tc>
      </w:tr>
      <w:tr>
        <w:tc>
          <w:p>
            <w:pPr>
              <w:pStyle w:val="Compact"/>
              <w:jc w:val="center"/>
            </w:pPr>
            <w:r>
              <w:t xml:space="preserve">AJ-2a_S62_L001_R1_001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Acinetobacter tandoii</w:t>
            </w:r>
          </w:p>
        </w:tc>
      </w:tr>
      <w:tr>
        <w:tc>
          <w:p>
            <w:pPr>
              <w:pStyle w:val="Compact"/>
              <w:jc w:val="center"/>
            </w:pPr>
            <w:r>
              <w:t xml:space="preserve">AJ-2b_S65_L001_R1_001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Streptococcus pnuemoniae</w:t>
            </w:r>
          </w:p>
        </w:tc>
      </w:tr>
      <w:tr>
        <w:tc>
          <w:p>
            <w:pPr>
              <w:pStyle w:val="Compact"/>
              <w:jc w:val="center"/>
            </w:pPr>
            <w:r>
              <w:t xml:space="preserve">AJ-3a_S63_L001_R1_001</w:t>
            </w:r>
          </w:p>
        </w:tc>
        <w:tc>
          <w:p>
            <w:pPr>
              <w:pStyle w:val="Compact"/>
              <w:jc w:val="left"/>
            </w:pPr>
            <w:r>
              <w:rPr>
                <w:i/>
              </w:rPr>
              <w:t xml:space="preserve">Petrocodon jingxiensis</w:t>
            </w:r>
          </w:p>
        </w:tc>
        <w:tc>
          <w:p>
            <w:pPr>
              <w:pStyle w:val="Compact"/>
              <w:jc w:val="left"/>
            </w:pPr>
            <w:r>
              <w:t xml:space="preserve">uncultured</w:t>
            </w:r>
            <w:r>
              <w:t xml:space="preserve"> </w:t>
            </w:r>
            <w:r>
              <w:rPr>
                <w:i/>
              </w:rPr>
              <w:t xml:space="preserve">bacterium</w:t>
            </w:r>
          </w:p>
        </w:tc>
      </w:tr>
      <w:tr>
        <w:tc>
          <w:p>
            <w:pPr>
              <w:pStyle w:val="Compact"/>
              <w:jc w:val="center"/>
            </w:pPr>
            <w:r>
              <w:t xml:space="preserve">AJ-3b_S66_L001_R1_001</w:t>
            </w:r>
          </w:p>
        </w:tc>
        <w:tc>
          <w:p>
            <w:pPr>
              <w:pStyle w:val="Compact"/>
              <w:jc w:val="left"/>
            </w:pPr>
            <w:r>
              <w:rPr>
                <w:i/>
              </w:rPr>
              <w:t xml:space="preserve">Corynebacterium accolens</w:t>
            </w:r>
          </w:p>
        </w:tc>
        <w:tc>
          <w:p>
            <w:pPr>
              <w:pStyle w:val="Compact"/>
              <w:jc w:val="left"/>
            </w:pPr>
            <w:r>
              <w:t xml:space="preserve">uncultured</w:t>
            </w:r>
            <w:r>
              <w:t xml:space="preserve"> </w:t>
            </w:r>
            <w:r>
              <w:rPr>
                <w:i/>
              </w:rPr>
              <w:t xml:space="preserve">bacterium</w:t>
            </w:r>
          </w:p>
        </w:tc>
      </w:tr>
    </w:tbl>
    <w:p>
      <w:pPr>
        <w:pStyle w:val="BodyText"/>
      </w:pPr>
      <w:r>
        <w:rPr>
          <w:b/>
        </w:rPr>
        <w:t xml:space="preserve">Table 6:</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74" w:name="phylum-abundance"/>
      <w:r>
        <w:t xml:space="preserve">Phylum Abundance</w:t>
      </w:r>
      <w:bookmarkEnd w:id="74"/>
    </w:p>
    <w:p>
      <w:pPr>
        <w:pStyle w:val="SourceCode"/>
      </w:pPr>
      <w:r>
        <w:rPr>
          <w:rStyle w:val="VerbatimChar"/>
        </w:rPr>
        <w:t xml:space="preserve">## # A tibble: 24 x 3</w:t>
      </w:r>
      <w:r>
        <w:br w:type="textWrapping"/>
      </w:r>
      <w:r>
        <w:rPr>
          <w:rStyle w:val="VerbatimChar"/>
        </w:rPr>
        <w:t xml:space="preserve">## # Groups:   student_initials [2]</w:t>
      </w:r>
      <w:r>
        <w:br w:type="textWrapping"/>
      </w:r>
      <w:r>
        <w:rPr>
          <w:rStyle w:val="VerbatimChar"/>
        </w:rPr>
        <w:t xml:space="preserve">##    student_initials Phylum                      sum_abundance</w:t>
      </w:r>
      <w:r>
        <w:br w:type="textWrapping"/>
      </w:r>
      <w:r>
        <w:rPr>
          <w:rStyle w:val="VerbatimChar"/>
        </w:rPr>
        <w:t xml:space="preserve">##    &lt;chr&gt;            &lt;chr&gt;                               &lt;int&gt;</w:t>
      </w:r>
      <w:r>
        <w:br w:type="textWrapping"/>
      </w:r>
      <w:r>
        <w:rPr>
          <w:rStyle w:val="VerbatimChar"/>
        </w:rPr>
        <w:t xml:space="preserve">##  1 AJ               Actinobacteria                      13216</w:t>
      </w:r>
      <w:r>
        <w:br w:type="textWrapping"/>
      </w:r>
      <w:r>
        <w:rPr>
          <w:rStyle w:val="VerbatimChar"/>
        </w:rPr>
        <w:t xml:space="preserve">##  2 AJ               Bacteroidetes                        2216</w:t>
      </w:r>
      <w:r>
        <w:br w:type="textWrapping"/>
      </w:r>
      <w:r>
        <w:rPr>
          <w:rStyle w:val="VerbatimChar"/>
        </w:rPr>
        <w:t xml:space="preserve">##  3 AJ               Candidatus_Saccharibacteria           114</w:t>
      </w:r>
      <w:r>
        <w:br w:type="textWrapping"/>
      </w:r>
      <w:r>
        <w:rPr>
          <w:rStyle w:val="VerbatimChar"/>
        </w:rPr>
        <w:t xml:space="preserve">##  4 AJ               Cyanobacteria/Chloroplast            5122</w:t>
      </w:r>
      <w:r>
        <w:br w:type="textWrapping"/>
      </w:r>
      <w:r>
        <w:rPr>
          <w:rStyle w:val="VerbatimChar"/>
        </w:rPr>
        <w:t xml:space="preserve">##  5 AJ               Deinococcus-Thermus                    24</w:t>
      </w:r>
      <w:r>
        <w:br w:type="textWrapping"/>
      </w:r>
      <w:r>
        <w:rPr>
          <w:rStyle w:val="VerbatimChar"/>
        </w:rPr>
        <w:t xml:space="preserve">##  6 AJ               Firmicutes                          17739</w:t>
      </w:r>
      <w:r>
        <w:br w:type="textWrapping"/>
      </w:r>
      <w:r>
        <w:rPr>
          <w:rStyle w:val="VerbatimChar"/>
        </w:rPr>
        <w:t xml:space="preserve">##  7 AJ               Fusobacteria                          757</w:t>
      </w:r>
      <w:r>
        <w:br w:type="textWrapping"/>
      </w:r>
      <w:r>
        <w:rPr>
          <w:rStyle w:val="VerbatimChar"/>
        </w:rPr>
        <w:t xml:space="preserve">##  8 AJ               Planctomycetes                         70</w:t>
      </w:r>
      <w:r>
        <w:br w:type="textWrapping"/>
      </w:r>
      <w:r>
        <w:rPr>
          <w:rStyle w:val="VerbatimChar"/>
        </w:rPr>
        <w:t xml:space="preserve">##  9 AJ               Proteobacteria                      22714</w:t>
      </w:r>
      <w:r>
        <w:br w:type="textWrapping"/>
      </w:r>
      <w:r>
        <w:rPr>
          <w:rStyle w:val="VerbatimChar"/>
        </w:rPr>
        <w:t xml:space="preserve">## 10 AJ               Spirochaetes                           52</w:t>
      </w:r>
      <w:r>
        <w:br w:type="textWrapping"/>
      </w:r>
      <w:r>
        <w:rPr>
          <w:rStyle w:val="VerbatimChar"/>
        </w:rPr>
        <w:t xml:space="preserve">## # … with 14 more rows</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bundance-phyla-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Plot bar comparing the abundance of different phyla within the samples of Nursing Students and Regular Students. Positive and negative contorls are also present for comparison.</w:t>
      </w:r>
    </w:p>
    <w:p>
      <w:pPr>
        <w:pStyle w:val="Heading3"/>
      </w:pPr>
      <w:bookmarkStart w:id="76" w:name="sum-abundance-of-phyla"/>
      <w:r>
        <w:t xml:space="preserve">Sum Abundance of Phyla</w:t>
      </w:r>
      <w:bookmarkEnd w:id="76"/>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sum-abundance-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Plot bar showing the sum Abundance of the different phyla between all Sample Groups: Nursing Students versus Regular students. This also includes all Negative controls.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abundance-sample-groups-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r>
        <w:t xml:space="preserve"> </w:t>
      </w:r>
      <w:r>
        <w:t xml:space="preserve">Bar plot showing the difference between the sum abundance of phyla in Samples groups: Nursing Student versus Regular Student. This does not include any negative control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mean-abudance-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Bar plot showing the difference between the mean abundance of Phyla in Samples groups: Nursing Student versus Regular Student.</w:t>
      </w:r>
    </w:p>
    <w:p>
      <w:pPr>
        <w:pStyle w:val="Heading2"/>
      </w:pPr>
      <w:bookmarkStart w:id="80" w:name="diversity-measurement"/>
      <w:r>
        <w:t xml:space="preserve">Diversity Measurement</w:t>
      </w:r>
      <w:bookmarkEnd w:id="8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lpha-diversity-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Boxplot showing the Alpha Diversity Measure within types of samples using Shannon’s and Simpson’s indexes. Simpson is a similarity index while Shannon is a diversity index.</w:t>
      </w:r>
    </w:p>
    <w:p>
      <w:pPr>
        <w:pStyle w:val="Heading2"/>
      </w:pPr>
      <w:bookmarkStart w:id="82" w:name="errors"/>
      <w:r>
        <w:t xml:space="preserve">Errors</w:t>
      </w:r>
      <w:bookmarkEnd w:id="82"/>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non-availble-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13:</w:t>
      </w:r>
      <w:r>
        <w:t xml:space="preserve"> </w:t>
      </w:r>
      <w:r>
        <w:t xml:space="preserve">Specific samples from either group: Nusing Student (a) and Regular Students (b) that have a</w:t>
      </w:r>
      <w:r>
        <w:t xml:space="preserve"> </w:t>
      </w:r>
      <w:r>
        <w:t xml:space="preserve">“</w:t>
      </w:r>
      <w:r>
        <w:t xml:space="preserve">Not Available</w:t>
      </w:r>
      <w:r>
        <w:t xml:space="preserve">”</w:t>
      </w:r>
      <w:r>
        <w:t xml:space="preserve"> </w:t>
      </w:r>
      <w:r>
        <w:t xml:space="preserve">phyla type.</w:t>
      </w:r>
    </w:p>
    <w:p>
      <w:pPr>
        <w:pStyle w:val="Heading1"/>
      </w:pPr>
      <w:bookmarkStart w:id="84" w:name="sources-cited"/>
      <w:r>
        <w:t xml:space="preserve">Sources Cited</w:t>
      </w:r>
      <w:bookmarkEnd w:id="84"/>
    </w:p>
    <w:bookmarkStart w:id="107" w:name="refs"/>
    <w:bookmarkStart w:id="85"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85"/>
    <w:bookmarkStart w:id="86"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6"/>
    <w:bookmarkStart w:id="87"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87"/>
    <w:bookmarkStart w:id="88"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88"/>
    <w:bookmarkStart w:id="89"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89"/>
    <w:bookmarkStart w:id="90"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90"/>
    <w:bookmarkStart w:id="91"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91"/>
    <w:bookmarkStart w:id="92"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92"/>
    <w:bookmarkStart w:id="93"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93"/>
    <w:bookmarkStart w:id="94"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94"/>
    <w:bookmarkStart w:id="95"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95"/>
    <w:bookmarkStart w:id="96"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96"/>
    <w:bookmarkStart w:id="97"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97"/>
    <w:bookmarkStart w:id="98"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98"/>
    <w:bookmarkStart w:id="99"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99"/>
    <w:bookmarkStart w:id="100"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0"/>
    <w:bookmarkStart w:id="101"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101"/>
    <w:bookmarkStart w:id="102"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102"/>
    <w:bookmarkStart w:id="103"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103"/>
    <w:bookmarkStart w:id="104"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104"/>
    <w:bookmarkStart w:id="105"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105"/>
    <w:bookmarkStart w:id="106"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2019-11-25T19:41:59Z</dcterms:created>
  <dcterms:modified xsi:type="dcterms:W3CDTF">2019-11-25T19:41:59Z</dcterms:modified>
</cp:coreProperties>
</file>