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jpg" ContentType="image/jpe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Bacteria is found in high concentrations in built environments. Building design and its use has an affect on the type of microbial communities found in residential surfaces.</w:t>
      </w:r>
      <w:r>
        <w:t xml:space="preserve"> </w:t>
      </w:r>
      <w:r>
        <w:t xml:space="preserve">(Peccia and Kwan, 2016)</w:t>
      </w:r>
      <w:r>
        <w:t xml:space="preserve"> </w:t>
      </w:r>
      <w:r>
        <w:t xml:space="preserve">For example, a building that is used as a factory with a high number of occupents, animals, or crops found within it will have a different microbial community than a building that is kept sanitized such as a hospital. Some key factors that have been found to greatly affect the microbial community in resindetial buildings include how moist the environment is, the age of the building, and whether animals are found within the building.</w:t>
      </w:r>
      <w:r>
        <w:t xml:space="preserve"> </w:t>
      </w:r>
      <w:r>
        <w:t xml:space="preserve">(Kettleson</w:t>
      </w:r>
      <w:r>
        <w:t xml:space="preserve"> </w:t>
      </w:r>
      <w:r>
        <w:rPr>
          <w:i/>
        </w:rPr>
        <w:t xml:space="preserve">et al.</w:t>
      </w:r>
      <w:r>
        <w:t xml:space="preserve">, 2015)</w:t>
      </w:r>
      <w:r>
        <w:t xml:space="preserve"> </w:t>
      </w:r>
      <w:r>
        <w:t xml:space="preserve">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w:t>
      </w:r>
      <w:r>
        <w:t xml:space="preserve">It has been found that skin associated bacteria are typically found on surfaces that have been touched by humans, gut associated bacteria as well as fecal contaminants is typically found on the surface of toilets. This shows that human occupancy and human contact can have an affect on the microbial community within a surface area.</w:t>
      </w:r>
      <w:r>
        <w:t xml:space="preserve"> </w:t>
      </w:r>
      <w:r>
        <w:t xml:space="preserve">(Ramos and Stephens, 2014)</w:t>
      </w:r>
      <w:r>
        <w:t xml:space="preserve"> </w:t>
      </w:r>
      <w:r>
        <w:t xml:space="preserve">This information also shows that bacteria doesn’t necessarily grow on surfaces found in built environments, but instead gets transferred onto it. Therefore, bacteria could be easily transmitted by means of simply touching a surface in a bathroom or restroom.</w:t>
      </w:r>
    </w:p>
    <w:p>
      <w:pPr>
        <w:pStyle w:val="BodyText"/>
      </w:pPr>
      <w:r>
        <w:t xml:space="preserve">Research has shown that the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w:t>
      </w:r>
      <w:r>
        <w:t xml:space="preserve">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higher number of people who have access to the public restrooms.</w:t>
      </w:r>
    </w:p>
    <w:p>
      <w:pPr>
        <w:pStyle w:val="BodyText"/>
      </w:pPr>
      <w:r>
        <w:t xml:space="preserve">I have analyzed the microbiome of bathroom and restroom sinks. I compared the microbiome of bathroom sinks from residential houses to the microbiome of sinks in public restrooms. I used culture and dilution plates to obtain colony and morphotype abundance from each sink. Sequencing technology has been used in previous research to investigate indoor microbial communities.</w:t>
      </w:r>
      <w:r>
        <w:t xml:space="preserve"> </w:t>
      </w:r>
      <w:r>
        <w:t xml:space="preserve">(Flores</w:t>
      </w:r>
      <w:r>
        <w:t xml:space="preserve"> </w:t>
      </w:r>
      <w:r>
        <w:rPr>
          <w:i/>
        </w:rPr>
        <w:t xml:space="preserve">et al.</w:t>
      </w:r>
      <w:r>
        <w:t xml:space="preserve">, 2011)</w:t>
      </w:r>
      <w:r>
        <w:t xml:space="preserve"> </w:t>
      </w:r>
      <w:r>
        <w:t xml:space="preserve">Thus, I used Sanger sequencing and BLAST analysis to identify the organisms found from my samples. I further analyzed my results through the use of a software called Geneious Prime. Although culture and dilution plates showed that personal bathrooms have a higher abundance and diversity in bacteria, statistical results showed that my results were not significant and therefore were not enough to prove my hypothesis to be true.</w:t>
      </w:r>
    </w:p>
    <w:p>
      <w:pPr>
        <w:pStyle w:val="BodyText"/>
      </w:pPr>
      <w:r>
        <w:t xml:space="preserve">This research is important because we spend most of our time indoors and especially in our homes. Being constantly exposed to the bacteria in our homes or public places can greatly influence our health. In fact, it has been found that roughly one in five human deaths are caused by pathogenic disease.</w:t>
      </w:r>
      <w:r>
        <w:t xml:space="preserve"> </w:t>
      </w:r>
      <w:r>
        <w:t xml:space="preserve">(Dunn</w:t>
      </w:r>
      <w:r>
        <w:t xml:space="preserve"> </w:t>
      </w:r>
      <w:r>
        <w:rPr>
          <w:i/>
        </w:rPr>
        <w:t xml:space="preserve">et al.</w:t>
      </w:r>
      <w:r>
        <w:t xml:space="preserve">, 2010)</w:t>
      </w:r>
      <w:r>
        <w:t xml:space="preserve"> </w:t>
      </w:r>
      <w:r>
        <w:t xml:space="preserve">Previous literature has also found that there are roughly around 1415 species of infectious organisms that are pathogenic in humans.</w:t>
      </w:r>
      <w:r>
        <w:t xml:space="preserve"> </w:t>
      </w:r>
      <w:r>
        <w:t xml:space="preserve">(Taylor</w:t>
      </w:r>
      <w:r>
        <w:t xml:space="preserve"> </w:t>
      </w:r>
      <w:r>
        <w:rPr>
          <w:i/>
        </w:rPr>
        <w:t xml:space="preserve">et al.</w:t>
      </w:r>
      <w:r>
        <w:t xml:space="preserve">, 2001)</w:t>
      </w:r>
      <w:r>
        <w:t xml:space="preserve"> </w:t>
      </w:r>
      <w:r>
        <w:t xml:space="preserve">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methods"/>
      <w:r>
        <w:t xml:space="preserve">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residential homes as well as restroom sinks from three different public places. I obtained samples from my home, my cousin’s home, and a friend’s home to represent sinks from residential homes. For the public restrooms, I swabbed the restroom sinks at a Starbucks, Apple retail store, and a Burger King. This totalled to six distinct sites. I used a sterile swab and inserted it into the drain of a sink. While the swab was in the drain, I moved it in a circular motion for approximately 10 seconds. I removed the swab from the sink and broke off the tip. I inserted the tip of the cotton swab into a labeled tube and set it aside for later use. I swabbed the sink a second time using a different sterile cotton swab and repeated the swabbing procedure for all the sinks at each of the six sites. This allowed me to obtain a total of 12 samples. I labeled the tubes from personal bathrooms as 1H, 2H, and, 3H. The tubes from public restrooms were labeled as 1P, 2P, and 3P. I used six samples, one sample from each location, for culturing. The other six samples were set aside and frozen at -20 degrees Celsius and were later used for Illumina sequencing.</w:t>
      </w:r>
    </w:p>
    <w:p>
      <w:pPr>
        <w:pStyle w:val="Heading2"/>
      </w:pPr>
      <w:bookmarkStart w:id="23" w:name="culture-and-dilution-plates"/>
      <w:r>
        <w:t xml:space="preserve">Culture and Dilution Plates</w:t>
      </w:r>
      <w:bookmarkEnd w:id="23"/>
    </w:p>
    <w:p>
      <w:pPr>
        <w:pStyle w:val="FirstParagraph"/>
      </w:pPr>
      <w:r>
        <w:t xml:space="preserve">I cultured and diluted the samples I obtained from the six different sites. The plates I used for culturing were made up of trypdic soy agar (TSA) medium on 100mm petri dishes. I added 200 uL of a sterile buffer, PBS, to one of the tubes containing a swab. I vortexed the tube for approximately 15 seconds. 100 uL of this solution was added to a culture plate and spread with beads. I then transferred 20 uL of the solution to another tube along with 180 uL of PBS. 100 uL of this second solution was added to a culture plate, spread with beads, and labeled as the 10x diluted plate. I did another dilution by adding 20 uL of the 10x solution to another tube and added another 180 uL of PBS. 100 uL of this solution was added to a culture plate, spread with beads, and labeled as the 100x diluted plate.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1.5 mL tubes for each sample. I added cells from one colony to a tube using a sterile pipette tip. I then followed the manufacturer’s protocol from the Sigma REDExtract-N-Amp kit. I then analyzed the DNA via Qubit analysis to quantify the DNA concentrations.</w:t>
      </w:r>
    </w:p>
    <w:p>
      <w:pPr>
        <w:pStyle w:val="Heading2"/>
      </w:pPr>
      <w:bookmarkStart w:id="25" w:name="pcr"/>
      <w:r>
        <w:t xml:space="preserve">PCR</w:t>
      </w:r>
      <w:bookmarkEnd w:id="25"/>
    </w:p>
    <w:p>
      <w:pPr>
        <w:pStyle w:val="FirstParagraph"/>
      </w:pPr>
      <w:r>
        <w:t xml:space="preserve">For PCR, I had to first make the master mix. I calculated the volumes of reagents required for the mix. My calculations indicated that I needed 77 uL of AMP, 6.2 uL of 27f primer, 6.2 uL of 92r primer, 7.7 uL of BSA, and 49.3 uL of H20. After I created the master mix, I added 19 uL of the master mix into 7 tubes. 1 uL of DNA from each sample was added to a tube. I added 1 uL of H20 to the seventh tube to serve as the negative control.</w:t>
      </w:r>
    </w:p>
    <w:p>
      <w:pPr>
        <w:pStyle w:val="BodyText"/>
      </w:pPr>
      <w:r>
        <w:t xml:space="preserve">I put the samples into a PCR thermocycler. The PCR cycle conditions began with five minutes of being in 95 degrees Celsius. I then set the thermocycler to undergo a cycle that started off at 94 degrees Celsius for 30 seconds, 65 degrees Celsius for 30 seconds, and 72 degrees Celsius for one minute. This was repeated for ten cycles and the temperature was stepped down by 1 degree per cycle. I changed the thermocycler again and set the temperature to 94 degrees Celsius for 30 seconds, 55 degrees Celsius for 30 seconds, and 72 degrees Celsius for 1 minute. This was repeated for 25 cycles. I then changed the thermocycler temperature to 72 degrees Celsius for 10 minutes and the thermocycler was finally held at 4 degrees Celsius.</w:t>
      </w:r>
    </w:p>
    <w:p>
      <w:pPr>
        <w:pStyle w:val="Heading2"/>
      </w:pPr>
      <w:bookmarkStart w:id="26" w:name="gel-electrophoresis"/>
      <w:r>
        <w:t xml:space="preserve">Gel Electrophoresis</w:t>
      </w:r>
      <w:bookmarkEnd w:id="26"/>
    </w:p>
    <w:p>
      <w:pPr>
        <w:pStyle w:val="FirstParagraph"/>
      </w:pPr>
      <w:r>
        <w:t xml:space="preserve">The gel I used for my experiement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a software called Geneious Prime. I received the results from Sanger sequencing as a zip file. I imported my files to Geneious and was able to analyze my sequences. I confirmed which sequences failed as well as sequences that failed but were usable for BLAST. I cleaned up and trimmed the sequences that I confirmed to be usable for BLAST and used IUPAC ambiguity codes for bases that were hard to identify.</w:t>
      </w:r>
    </w:p>
    <w:p>
      <w:pPr>
        <w:pStyle w:val="BodyText"/>
      </w:pPr>
      <w:r>
        <w:t xml:space="preserve">I used a software called BLAST to match my samples to organisms. I also used Geneious to create a Bayesian phylogeny and a Maximum Likelihood phylogeny.</w:t>
      </w:r>
      <w:r>
        <w:t xml:space="preserve"> </w:t>
      </w:r>
      <w:r>
        <w:rPr>
          <w:i/>
        </w:rPr>
        <w:t xml:space="preserve">Thermus</w:t>
      </w:r>
      <w:r>
        <w:t xml:space="preserve"> </w:t>
      </w:r>
      <w:r>
        <w:t xml:space="preserve">aquaticus was used as an outgroup for both phylogenies. I created the phylogenies using multiple sequence alignments generated using MAFFT. I installed MrBayes software in Genious Prime to create the Bayesian phylogeny. I also installed PhyML software to create the Maximum Likelihood phylogeny. A minimum of three sequences were required in order to successfully create both phylogeny trees.</w:t>
      </w:r>
    </w:p>
    <w:p>
      <w:pPr>
        <w:pStyle w:val="Heading1"/>
      </w:pPr>
      <w:bookmarkStart w:id="29" w:name="results"/>
      <w:r>
        <w:t xml:space="preserve">Results</w:t>
      </w:r>
      <w:bookmarkEnd w:id="29"/>
    </w:p>
    <w:p>
      <w:pPr>
        <w:pStyle w:val="FirstParagraph"/>
      </w:pPr>
      <w:r>
        <w:t xml:space="preserve">Results from the bacteria cultures showed that personal bathrooms contained too many colonies to count. For the purpose of this experiement, I documented that I counted 1000 colonies from the plates that were uncountable. I used a high value to represent the high abundance of colonies because it allowed for calculations and analysis of the data. The colony abundance from the 10x dilution of samples from each of the sites were compared to one another. (Figure 1) Wilcox test showed a p-value of 0.35. The number of morphotypes that I counted from the samples ranged from 1-6. The morophotypes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quanitified via Qubit analysis. (Figure 4)</w:t>
      </w:r>
    </w:p>
    <w:p>
      <w:pPr>
        <w:pStyle w:val="BodyText"/>
      </w:pPr>
      <w:r>
        <w:t xml:space="preserve">After recieving the results from Sanger sequencing, I cleaned the sequences using Geneious. The negative control and 3H samples failed and were unusable for BLAST. Samples 3H 1:10 and 2P 1:10 failed the sequencing, however, I found the sequences to still be usable for BLAST. Samples 2P, 1P 1:100 and 1P 1:10 were cleaned, trimmed, and usable for BLAST.(Figure 5)</w:t>
      </w:r>
    </w:p>
    <w:p>
      <w:pPr>
        <w:pStyle w:val="BodyText"/>
      </w:pPr>
      <w:r>
        <w:t xml:space="preserve">The BLAST results indicated which organisms were found in my samples. (Figure 6) I found a match for three of my samples, 2P, 1P 1:100, and 1P 1:10. Two of my samples, 3H 1:10 and 2P 1:10 resulted with no match. From the blast results I found that my 2P sample matched with</w:t>
      </w:r>
      <w:r>
        <w:t xml:space="preserve"> </w:t>
      </w:r>
      <w:r>
        <w:rPr>
          <w:i/>
        </w:rPr>
        <w:t xml:space="preserve">Bacillus</w:t>
      </w:r>
      <w:r>
        <w:t xml:space="preserve"> </w:t>
      </w:r>
      <w:r>
        <w:t xml:space="preserve">licheniformis, 1P 1:10 matched with</w:t>
      </w:r>
      <w:r>
        <w:t xml:space="preserve"> </w:t>
      </w:r>
      <w:r>
        <w:rPr>
          <w:i/>
        </w:rPr>
        <w:t xml:space="preserve">Acidovorax</w:t>
      </w:r>
      <w:r>
        <w:t xml:space="preserve"> </w:t>
      </w:r>
      <w:r>
        <w:t xml:space="preserve">temperans strain R-C-TGW, and 1P 1:100 matched with</w:t>
      </w:r>
      <w:r>
        <w:t xml:space="preserve"> </w:t>
      </w:r>
      <w:r>
        <w:rPr>
          <w:i/>
        </w:rPr>
        <w:t xml:space="preserve">Citrobacter</w:t>
      </w:r>
      <w:r>
        <w:t xml:space="preserve"> </w:t>
      </w:r>
      <w:r>
        <w:t xml:space="preserve">freundii strain.</w:t>
      </w:r>
    </w:p>
    <w:p>
      <w:pPr>
        <w:pStyle w:val="BodyText"/>
      </w:pPr>
      <w:r>
        <w:t xml:space="preserve">I chose three samples 2P, 1P 1:100, and 1P 1:10 to be incorporated into phylogenies; a Bayesian phylogeny and a Maximum Likelihood phylogey.</w:t>
      </w:r>
      <w:r>
        <w:t xml:space="preserve"> </w:t>
      </w:r>
      <w:r>
        <w:rPr>
          <w:i/>
        </w:rPr>
        <w:t xml:space="preserve">Thermus</w:t>
      </w:r>
      <w:r>
        <w:t xml:space="preserve"> </w:t>
      </w:r>
      <w:r>
        <w:t xml:space="preserve">aquaticus was used as the outgroup for both phylogenies. Bayesian phylogeny (Figure 7) was created to show the relationship between organisms. The Bayesian posterior probability was 0.9912. AS 1P 1:10 and AS 1P 1:100 were grouped together in a monophyletic clade. Maximum Likelihood phylogeny (Figure 8) was created to show the relationship between organisms. The Maximum Likelihood bootstrap value was 99. AS 1P 1:10 and AS 1P 1:100 were grouped together in a monophyletic clade in this phylogeny tree as well.</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32"/>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Figure 4:</w:t>
      </w:r>
      <w:r>
        <w:t xml:space="preserve"> </w:t>
      </w:r>
      <w:r>
        <w:t xml:space="preserve">DNA concentration results obtained from Qubit analysis. 2-50 ng/uL was considered to be a good range for DNA concentration.</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Orignial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Figure 5:</w:t>
      </w:r>
      <w:r>
        <w:t xml:space="preserve"> </w:t>
      </w:r>
      <w:r>
        <w:t xml:space="preserve">Locus of each 16S sequence, its usability, and sequence length after trimming.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t xml:space="preserve">Acidovorax temperans 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t xml:space="preserve">Citrobacter freundii 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Figure 6:</w:t>
      </w:r>
      <w:r>
        <w:t xml:space="preserve"> </w:t>
      </w:r>
      <w:r>
        <w:t xml:space="preserve">BLAST result metrics which indicate the microorganisms found from my samples. AS 2P 1:10 and 3H 1:10 were failed sequences, however, I still considered them to be usable for BLAST. BLAST showed no match for the two samples. AS 3H was a failed sequence and did not undergo BLAST.</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Bayesian phylogeny with</w:t>
      </w:r>
      <w:r>
        <w:t xml:space="preserve"> </w:t>
      </w:r>
      <w:r>
        <w:rPr>
          <w:i/>
        </w:rPr>
        <w:t xml:space="preserve">Thermus</w:t>
      </w:r>
      <w:r>
        <w:t xml:space="preserve"> </w:t>
      </w:r>
      <w:r>
        <w:t xml:space="preserve">aquaticus as an outgroup. Bayesian posterior probablity of 0.9912</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Maximum likelihood phylogeny with</w:t>
      </w:r>
      <w:r>
        <w:t xml:space="preserve"> </w:t>
      </w:r>
      <w:r>
        <w:rPr>
          <w:i/>
        </w:rPr>
        <w:t xml:space="preserve">Thermus</w:t>
      </w:r>
      <w:r>
        <w:t xml:space="preserve"> </w:t>
      </w:r>
      <w:r>
        <w:t xml:space="preserve">aquaticus as an outgroup. Maximum Likelihood bootstrap value of 99.</w:t>
      </w:r>
    </w:p>
    <w:p>
      <w:pPr>
        <w:pStyle w:val="Heading1"/>
      </w:pPr>
      <w:bookmarkStart w:id="35" w:name="discussion"/>
      <w:r>
        <w:t xml:space="preserve">Discussion</w:t>
      </w:r>
      <w:bookmarkEnd w:id="35"/>
    </w:p>
    <w:p>
      <w:pPr>
        <w:pStyle w:val="FirstParagraph"/>
      </w:pPr>
      <w:r>
        <w:t xml:space="preserve">For this experiment I intended to determine if the number of people getting in contact with a bathroom sink affects the diversity of the microbiome found within it. After some research, I hypothesized that bathroom sinks in public restrooms will have a more diverse microbiome than the bathroom sinks in a residential home because of the higher number of people who have access to it.</w:t>
      </w:r>
    </w:p>
    <w:p>
      <w:pPr>
        <w:pStyle w:val="BodyText"/>
      </w:pPr>
      <w:r>
        <w:t xml:space="preserve">The colony and morphotype abundance from my samples have showed that bathroom sinks used in personal homes have a much more diverse microbiome than sinks used in public restrooms. After a day of incubation, the colony abundance from seven out of the nine culture and dilution plates from personal bathroom sinks were so high that they were uncountable. I did, however, replace the data to show that there were 1000 colonies to allow for computation and analysis. However, statistic results exhibited a high p-value for both colony abundance and number of morphotypes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 at which I obtained my samples from the six locations. I collected samples from bathroom sinks from three different homes as well as bathroom sinks from three different restrooms. When I obtained the samples from the bathroom sinks representing sinks from residential homes, I had done so in the morning after people living in the household have already finished using the bathroom to wash their hands, wash their faces, brush their teeth, etc. I also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For this experiment I assumed that a higher number of people come into contact with sinks located in public restrooms, however, I obtained samples at a time when little to no one has yet even entered the restroom. Although more people have access to public restrooms, it does not necessarily mean they actually get in contact with it. The bathroom sinks I sampled may also have different cleaning patterns</w:t>
      </w:r>
    </w:p>
    <w:p>
      <w:pPr>
        <w:pStyle w:val="BodyText"/>
      </w:pPr>
      <w:r>
        <w:t xml:space="preserve">Three of my samples matched with an organism via BLAST. My sample labeled 2P matched with</w:t>
      </w:r>
      <w:r>
        <w:t xml:space="preserve"> </w:t>
      </w:r>
      <w:r>
        <w:rPr>
          <w:i/>
        </w:rPr>
        <w:t xml:space="preserve">Bacillus</w:t>
      </w:r>
      <w:r>
        <w:t xml:space="preserve"> </w:t>
      </w:r>
      <w:r>
        <w:t xml:space="preserve">licheniformis. After further research I found that</w:t>
      </w:r>
      <w:r>
        <w:t xml:space="preserve"> </w:t>
      </w:r>
      <w:r>
        <w:rPr>
          <w:i/>
        </w:rPr>
        <w:t xml:space="preserve">Bacillus</w:t>
      </w:r>
      <w:r>
        <w:t xml:space="preserve"> </w:t>
      </w:r>
      <w:r>
        <w:t xml:space="preserve">licheniformis is commonly found in soil and bird feathers. It is not a human pathogen.</w:t>
      </w:r>
      <w:r>
        <w:t xml:space="preserve"> </w:t>
      </w:r>
      <w:r>
        <w:rPr>
          <w:i/>
        </w:rPr>
        <w:t xml:space="preserve">Bacillus</w:t>
      </w:r>
      <w:r>
        <w:t xml:space="preserve"> </w:t>
      </w:r>
      <w:r>
        <w:t xml:space="preserve">lichenformis 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w:t>
      </w:r>
      <w:r>
        <w:t xml:space="preserve">It is interesting to see that this organism matches with my sample 2P. I took this sample from a public restroom at Apple Stonestown. Although Apple is a technology company, it does not contribute to biotechnology so it did not make sense to come across this organism at that location. It is possible, however, that a person that works in biotechnology and is exposed to this organism came to the store and washed his or her hands in the restroom sink.</w:t>
      </w:r>
    </w:p>
    <w:p>
      <w:pPr>
        <w:pStyle w:val="BodyText"/>
      </w:pPr>
      <w:r>
        <w:t xml:space="preserve">The sample labeled 1P 1:10 matched with</w:t>
      </w:r>
      <w:r>
        <w:t xml:space="preserve"> </w:t>
      </w:r>
      <w:r>
        <w:rPr>
          <w:i/>
        </w:rPr>
        <w:t xml:space="preserve">Acidovorax</w:t>
      </w:r>
      <w:r>
        <w:t xml:space="preserve"> </w:t>
      </w:r>
      <w:r>
        <w:t xml:space="preserve">temperans strain R-C-TGW, a gram negative bacterium that is known to cause disease in plants. This bacteria is normally found in soil and water environments. It is known to cause disease in plants, mostly watermelons and honeydews.</w:t>
      </w:r>
    </w:p>
    <w:p>
      <w:pPr>
        <w:pStyle w:val="BodyText"/>
      </w:pPr>
      <w:r>
        <w:t xml:space="preserve">The sample labeled 1P 1:100 matched with</w:t>
      </w:r>
      <w:r>
        <w:t xml:space="preserve"> </w:t>
      </w:r>
      <w:r>
        <w:rPr>
          <w:i/>
        </w:rPr>
        <w:t xml:space="preserve">Citrobacter</w:t>
      </w:r>
      <w:r>
        <w:t xml:space="preserve"> </w:t>
      </w:r>
      <w:r>
        <w:t xml:space="preserve">freundii strain, a bacteria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it infects people with previously weakened immune systems. Those who have a weak immune system and become infected by</w:t>
      </w:r>
      <w:r>
        <w:t xml:space="preserve"> </w:t>
      </w:r>
      <w:r>
        <w:rPr>
          <w:i/>
        </w:rPr>
        <w:t xml:space="preserve">Citrobacter</w:t>
      </w:r>
      <w:r>
        <w:t xml:space="preserve"> </w:t>
      </w:r>
      <w:r>
        <w:t xml:space="preserve">freundii are prone to urinary tract infections, intestinal infection, infections in respiratory tract, blood, or meningitis.</w:t>
      </w:r>
      <w:r>
        <w:t xml:space="preserve"> </w:t>
      </w:r>
      <w:r>
        <w:t xml:space="preserve">(Ranjan and Ranjan, 2013)</w:t>
      </w:r>
    </w:p>
    <w:p>
      <w:pPr>
        <w:pStyle w:val="BodyText"/>
      </w:pPr>
      <w:r>
        <w:t xml:space="preserve">1P 1:10 and 1P 1:100 are samples I obtained from swabbing a public restroom sink in Burger King. Burger King sells food, therefore, I am able to make sense at how and why a bacteria that causes disease in crops was found in the sink. However, it surprises and also worries me to see that bacteria that can cause many kinds of infections is present in a public restroom sink.</w:t>
      </w:r>
    </w:p>
    <w:p>
      <w:pPr>
        <w:pStyle w:val="BodyText"/>
      </w:pPr>
      <w:r>
        <w:t xml:space="preserve">For the results I received back from Sanger sequencing, three of my samples were sequenced successfully. I was able to clean, trim, and match the samples to organisms using BLAST. Two of the samples failed but were still usable for BLAST, however, BLAST analysis showed no match for those samples. One of my samples completely failed and was unusable. The sequence looked exactly like that of the negative control. For the three sequences that failed, it could have been due to either contamination of the samples somewhere throughout the procedure. The samples could have also contained DNA from more than one individual. Throughout the experiment, I also found that some of the pipettes that I used were calibrated a bit differently from others. That caused me to redo certain steps throughout the experiment which may also have potentially affected my data.</w:t>
      </w:r>
    </w:p>
    <w:p>
      <w:pPr>
        <w:pStyle w:val="BodyText"/>
      </w:pPr>
      <w:r>
        <w:t xml:space="preserve">If I were to do further research, I would take a larger number of samples. I would also take into consideration variables which I didn’t think about prior to this experiment. The variables I would consider would be things like cleaning patterns of the bathrooms and restrooms (when and how often they are cleaned), the time of day I decide to obtain my samples, and stricter sterility to ensure no contaminants throughout the experiment.</w:t>
      </w:r>
    </w:p>
    <w:p>
      <w:pPr>
        <w:pStyle w:val="BodyText"/>
      </w:pPr>
      <w:r>
        <w:t xml:space="preserve">This research has expanded my knowledge of microbial communities in bathroom and restroom sinks. It has given me insight on the types of microorganisms found within surfaces that I and many others come to close contact with on a daily basis. Previous literature has found that surfaces that have not been cleaned and maintained pose great risk of infectious disease.</w:t>
      </w:r>
      <w:r>
        <w:t xml:space="preserve"> </w:t>
      </w:r>
      <w:r>
        <w:t xml:space="preserve">(Reynolds</w:t>
      </w:r>
      <w:r>
        <w:t xml:space="preserve"> </w:t>
      </w:r>
      <w:r>
        <w:rPr>
          <w:i/>
        </w:rPr>
        <w:t xml:space="preserve">et al.</w:t>
      </w:r>
      <w:r>
        <w:t xml:space="preserve">, 2005)</w:t>
      </w:r>
      <w:r>
        <w:t xml:space="preserve"> </w:t>
      </w:r>
      <w:r>
        <w:t xml:space="preserve">It is important to know the possible organisms we come into contact with to prepare for potential illness that may arise. There are papers written on the importance of ownership when it comes to fighting against disease.</w:t>
      </w:r>
      <w:r>
        <w:t xml:space="preserve"> </w:t>
      </w:r>
      <w:r>
        <w:t xml:space="preserve">(Tomori, 2014)</w:t>
      </w:r>
      <w:r>
        <w:t xml:space="preserve"> </w:t>
      </w:r>
      <w:r>
        <w:t xml:space="preserve">By taking ownership of microbial communities found in certain areas, we can then make the commitment to maintain proper hygiene and cleanliness to avoid becoming infected by pathogenic organisms.</w:t>
      </w:r>
    </w:p>
    <w:p>
      <w:pPr>
        <w:pStyle w:val="Heading1"/>
      </w:pPr>
      <w:bookmarkStart w:id="36" w:name="sources-cited"/>
      <w:r>
        <w:t xml:space="preserve">Sources Cited</w:t>
      </w:r>
      <w:bookmarkEnd w:id="36"/>
    </w:p>
    <w:bookmarkStart w:id="49" w:name="refs"/>
    <w:bookmarkStart w:id="37" w:name="ref-dunn2010global"/>
    <w:p>
      <w:pPr>
        <w:pStyle w:val="Bibliography"/>
      </w:pPr>
      <w:r>
        <w:t xml:space="preserve">Dunn,R.R.</w:t>
      </w:r>
      <w:r>
        <w:t xml:space="preserve"> </w:t>
      </w:r>
      <w:r>
        <w:rPr>
          <w:i/>
        </w:rPr>
        <w:t xml:space="preserve">et al.</w:t>
      </w:r>
      <w:r>
        <w:t xml:space="preserve"> </w:t>
      </w:r>
      <w:r>
        <w:t xml:space="preserve">(2010) Global drivers of human pathogen richness and prevalence.</w:t>
      </w:r>
      <w:r>
        <w:t xml:space="preserve"> </w:t>
      </w:r>
      <w:r>
        <w:rPr>
          <w:i/>
        </w:rPr>
        <w:t xml:space="preserve">Proceedings of the Royal Society B: Biological Sciences</w:t>
      </w:r>
      <w:r>
        <w:t xml:space="preserve">,</w:t>
      </w:r>
      <w:r>
        <w:t xml:space="preserve"> </w:t>
      </w:r>
      <w:r>
        <w:rPr>
          <w:b/>
        </w:rPr>
        <w:t xml:space="preserve">277</w:t>
      </w:r>
      <w:r>
        <w:t xml:space="preserve">, 2587–2595.</w:t>
      </w:r>
    </w:p>
    <w:bookmarkEnd w:id="37"/>
    <w:bookmarkStart w:id="38"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38"/>
    <w:bookmarkStart w:id="39" w:name="ref-kettleson2015key"/>
    <w:p>
      <w:pPr>
        <w:pStyle w:val="Bibliography"/>
      </w:pPr>
      <w:r>
        <w:t xml:space="preserve">Kettleson,E.M.</w:t>
      </w:r>
      <w:r>
        <w:t xml:space="preserve"> </w:t>
      </w:r>
      <w:r>
        <w:rPr>
          <w:i/>
        </w:rPr>
        <w:t xml:space="preserve">et al.</w:t>
      </w:r>
      <w:r>
        <w:t xml:space="preserve"> </w:t>
      </w:r>
      <w:r>
        <w:t xml:space="preserve">(2015) Key determinants of the fungal and bacterial microbiomes in homes.</w:t>
      </w:r>
      <w:r>
        <w:t xml:space="preserve"> </w:t>
      </w:r>
      <w:r>
        <w:rPr>
          <w:i/>
        </w:rPr>
        <w:t xml:space="preserve">Environmental research</w:t>
      </w:r>
      <w:r>
        <w:t xml:space="preserve">,</w:t>
      </w:r>
      <w:r>
        <w:t xml:space="preserve"> </w:t>
      </w:r>
      <w:r>
        <w:rPr>
          <w:b/>
        </w:rPr>
        <w:t xml:space="preserve">138</w:t>
      </w:r>
      <w:r>
        <w:t xml:space="preserve">, 130–135.</w:t>
      </w:r>
    </w:p>
    <w:bookmarkEnd w:id="39"/>
    <w:bookmarkStart w:id="40"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40"/>
    <w:bookmarkStart w:id="41"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41"/>
    <w:bookmarkStart w:id="42"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42"/>
    <w:bookmarkStart w:id="43"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43"/>
    <w:bookmarkStart w:id="44"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44"/>
    <w:bookmarkStart w:id="45"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45"/>
    <w:bookmarkStart w:id="46"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46"/>
    <w:bookmarkStart w:id="47" w:name="ref-taylor2001risk"/>
    <w:p>
      <w:pPr>
        <w:pStyle w:val="Bibliography"/>
      </w:pPr>
      <w:r>
        <w:t xml:space="preserve">Taylor,L.H.</w:t>
      </w:r>
      <w:r>
        <w:t xml:space="preserve"> </w:t>
      </w:r>
      <w:r>
        <w:rPr>
          <w:i/>
        </w:rPr>
        <w:t xml:space="preserve">et al.</w:t>
      </w:r>
      <w:r>
        <w:t xml:space="preserve"> </w:t>
      </w:r>
      <w:r>
        <w:t xml:space="preserve">(2001) Risk factors for human disease emergence.</w:t>
      </w:r>
      <w:r>
        <w:t xml:space="preserve"> </w:t>
      </w:r>
      <w:r>
        <w:rPr>
          <w:i/>
        </w:rPr>
        <w:t xml:space="preserve">Philosophical Transactions of the Royal Society of London. Series B: Biological Sciences</w:t>
      </w:r>
      <w:r>
        <w:t xml:space="preserve">,</w:t>
      </w:r>
      <w:r>
        <w:t xml:space="preserve"> </w:t>
      </w:r>
      <w:r>
        <w:rPr>
          <w:b/>
        </w:rPr>
        <w:t xml:space="preserve">356</w:t>
      </w:r>
      <w:r>
        <w:t xml:space="preserve">, 983–989.</w:t>
      </w:r>
    </w:p>
    <w:bookmarkEnd w:id="47"/>
    <w:bookmarkStart w:id="48" w:name="ref-tomori2014winning"/>
    <w:p>
      <w:pPr>
        <w:pStyle w:val="Bibliography"/>
      </w:pPr>
      <w:r>
        <w:t xml:space="preserve">Tomori,O. (2014) Winning the battle against emerging pathogens: A nigerian response.</w:t>
      </w:r>
      <w:r>
        <w:t xml:space="preserve"> </w:t>
      </w:r>
      <w:r>
        <w:rPr>
          <w:i/>
        </w:rPr>
        <w:t xml:space="preserve">Bulletin of the Atomic Scientists</w:t>
      </w:r>
      <w:r>
        <w:t xml:space="preserve">,</w:t>
      </w:r>
      <w:r>
        <w:t xml:space="preserve"> </w:t>
      </w:r>
      <w:r>
        <w:rPr>
          <w:b/>
        </w:rPr>
        <w:t xml:space="preserve">70</w:t>
      </w:r>
      <w:r>
        <w:t xml:space="preserve">, 14–17.</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jp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2019-10-16T06:10:42Z</dcterms:created>
  <dcterms:modified xsi:type="dcterms:W3CDTF">2019-10-16T06:10:42Z</dcterms:modified>
</cp:coreProperties>
</file>