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jpg" ContentType="image/jpe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w:t>
      </w: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w:t>
      </w:r>
      <w:r>
        <w:t xml:space="preserve">Human occupancy and human contact can have an affect on the community of the microbiome of a surface area.</w:t>
      </w:r>
      <w:r>
        <w:t xml:space="preserve"> </w:t>
      </w:r>
      <w:r>
        <w:t xml:space="preserve">(Ramos and Stephens, 2014)</w:t>
      </w:r>
    </w:p>
    <w:p>
      <w:pPr>
        <w:pStyle w:val="BodyText"/>
      </w:pPr>
      <w:r>
        <w:t xml:space="preserve">This research is important because we spend most of our time indoors and especially in our homes. Being constantly exposed to the bacteria in our homes or public places can greatly influence our health. By knowing how much bacteria is in a certain place we come into close contact with, such as bathroom or restroom sinks, we can then find ways of reducing any contamination that could lead to possible illness.</w:t>
      </w:r>
    </w:p>
    <w:p>
      <w:pPr>
        <w:pStyle w:val="Heading1"/>
      </w:pPr>
      <w:bookmarkStart w:id="21" w:name="methods"/>
      <w:r>
        <w:t xml:space="preserve">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swabbed the drains of bathroom sinks from three different homes as well as restroom sinks from three different public places. This totaled to six distinct sites. I used a sterile swab and inserted it into the drain of a sink. While the swab was in the drain, I moved it in a circular motion for approximately 10 seconds. I removed the swab from the sink and broke off the tip. I inserted the tip of the cotton swab into a labeled tube and set it aside for later use. I swabbed each sink twice and repeated the swabbing procedure for the sinks at each of the six sites. This allowed me to obtain a total of 12 samples.</w:t>
      </w:r>
    </w:p>
    <w:p>
      <w:pPr>
        <w:pStyle w:val="Heading2"/>
      </w:pPr>
      <w:bookmarkStart w:id="23" w:name="culture-and-dilution-plates"/>
      <w:r>
        <w:t xml:space="preserve">Culture and Dilution Plates</w:t>
      </w:r>
      <w:bookmarkEnd w:id="23"/>
    </w:p>
    <w:p>
      <w:pPr>
        <w:pStyle w:val="FirstParagraph"/>
      </w:pPr>
      <w:r>
        <w:t xml:space="preserve">Six of the twelve samples were cultured. Each sample represented a sink from each of the six sites.</w:t>
      </w:r>
    </w:p>
    <w:p>
      <w:pPr>
        <w:pStyle w:val="Heading2"/>
      </w:pPr>
      <w:bookmarkStart w:id="24" w:name="dna-extraction"/>
      <w:r>
        <w:t xml:space="preserve">DNA Extraction</w:t>
      </w:r>
      <w:bookmarkEnd w:id="24"/>
    </w:p>
    <w:p>
      <w:pPr>
        <w:pStyle w:val="Heading2"/>
      </w:pPr>
      <w:bookmarkStart w:id="25" w:name="qubit-analysis"/>
      <w:r>
        <w:t xml:space="preserve">Qubit Analysis</w:t>
      </w:r>
      <w:bookmarkEnd w:id="25"/>
    </w:p>
    <w:p>
      <w:pPr>
        <w:pStyle w:val="Heading2"/>
      </w:pPr>
      <w:bookmarkStart w:id="26" w:name="pcr"/>
      <w:r>
        <w:t xml:space="preserve">PCR</w:t>
      </w:r>
      <w:bookmarkEnd w:id="26"/>
    </w:p>
    <w:p>
      <w:pPr>
        <w:pStyle w:val="Heading2"/>
      </w:pPr>
      <w:bookmarkStart w:id="27" w:name="gel-electrophoresis"/>
      <w:r>
        <w:t xml:space="preserve">Gel Electrophoresis</w:t>
      </w:r>
      <w:bookmarkEnd w:id="27"/>
    </w:p>
    <w:p>
      <w:pPr>
        <w:pStyle w:val="Heading2"/>
      </w:pPr>
      <w:bookmarkStart w:id="28" w:name="sanger-sequencing"/>
      <w:r>
        <w:t xml:space="preserve">Sanger Sequencing</w:t>
      </w:r>
      <w:bookmarkEnd w:id="28"/>
    </w:p>
    <w:p>
      <w:pPr>
        <w:pStyle w:val="Heading2"/>
      </w:pPr>
      <w:bookmarkStart w:id="29" w:name="data-analysis"/>
      <w:r>
        <w:t xml:space="preserve">Data Analysis</w:t>
      </w:r>
      <w:bookmarkEnd w:id="29"/>
    </w:p>
    <w:p>
      <w:pPr>
        <w:pStyle w:val="Heading1"/>
      </w:pPr>
      <w:bookmarkStart w:id="30" w:name="results"/>
      <w:r>
        <w:t xml:space="preserve">Results</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3"/>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p>
    <w:p>
      <w:pPr>
        <w:pStyle w:val="Heading1"/>
      </w:pPr>
      <w:bookmarkStart w:id="36" w:name="discussion"/>
      <w:r>
        <w:t xml:space="preserve">Discussion</w:t>
      </w:r>
      <w:bookmarkEnd w:id="36"/>
    </w:p>
    <w:p>
      <w:pPr>
        <w:pStyle w:val="Heading1"/>
      </w:pPr>
      <w:bookmarkStart w:id="37" w:name="sources-cited"/>
      <w:r>
        <w:t xml:space="preserve">Sources Cited</w:t>
      </w:r>
      <w:bookmarkEnd w:id="37"/>
    </w:p>
    <w:bookmarkStart w:id="41" w:name="refs"/>
    <w:bookmarkStart w:id="3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38"/>
    <w:bookmarkStart w:id="39"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39"/>
    <w:bookmarkStart w:id="40"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jp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Adelle Marie Sumabat</dc:creator>
  <cp:keywords/>
  <dcterms:created xsi:type="dcterms:W3CDTF">2019-10-15T22:58:08Z</dcterms:created>
  <dcterms:modified xsi:type="dcterms:W3CDTF">2019-10-15T22:58:08Z</dcterms:modified>
</cp:coreProperties>
</file>