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5.png" ContentType="image/png"/>
  <Override PartName="/word/media/rId48.png" ContentType="image/png"/>
  <Override PartName="/word/media/rId40.png" ContentType="image/png"/>
  <Override PartName="/word/media/rId41.png" ContentType="image/png"/>
  <Override PartName="/word/media/rId46.png" ContentType="image/png"/>
  <Override PartName="/word/media/rId47.png" ContentType="image/png"/>
  <Override PartName="/word/media/rId50.png" ContentType="image/png"/>
  <Override PartName="/word/media/rId42.jpg" ContentType="image/jpe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December</w:t>
      </w:r>
      <w:r>
        <w:t xml:space="preserve"> </w:t>
      </w:r>
      <w:r>
        <w:t xml:space="preserve">4,</w:t>
      </w:r>
      <w:r>
        <w:t xml:space="preserve"> </w:t>
      </w:r>
      <w:r>
        <w:t xml:space="preserve">2019</w:t>
      </w:r>
    </w:p>
    <w:p>
      <w:pPr>
        <w:pStyle w:val="Heading1"/>
      </w:pPr>
      <w:bookmarkStart w:id="20" w:name="introduction"/>
      <w:r>
        <w:t xml:space="preserve">Introduction</w:t>
      </w:r>
      <w:bookmarkEnd w:id="20"/>
    </w:p>
    <w:p>
      <w:pPr>
        <w:pStyle w:val="FirstParagraph"/>
      </w:pPr>
      <w:r>
        <w:t xml:space="preserve">Bacteria are found in high concentrations in built environments. Building design and its use has an affect on the type of microbial communities found on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residential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Microorganisms are found all over our skin, gut, mucus, and covers all the rest of our body’s surface. It was been found that our bodies contain at least 10 times more bacterial cells than human ones.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Bacteria play many roles that are beneficial to humans. They can synthesize vitamins, break down food into absorbable nutrients, and stimulate our immune systems. However, there are still many types of bacteria that have the ability to cause infections that may result in deadly disease or death itself</w:t>
      </w:r>
      <w:r>
        <w:t xml:space="preserve"> </w:t>
      </w:r>
      <w:r>
        <w:t xml:space="preserve">(Ranjan and Ranjan, 2013)</w:t>
      </w:r>
      <w:r>
        <w:t xml:space="preserve">. Bacteria have also been successful organisms because they have great adaptive capabilities. With that being said, many pathogenic bacteria have evolved to become resistant to drugs and antibiotics. Some bacteria are naturally resistant to antibiotics and other bacteria can achieve resistance by having the resistance gene transferred to their plasmid from the plasmid of an antibiotic resistant drug</w:t>
      </w:r>
      <w:r>
        <w:t xml:space="preserve"> </w:t>
      </w:r>
      <w:r>
        <w:t xml:space="preserve">(Reynolds</w:t>
      </w:r>
      <w:r>
        <w:t xml:space="preserve"> </w:t>
      </w:r>
      <w:r>
        <w:rPr>
          <w:i/>
        </w:rPr>
        <w:t xml:space="preserve">et al.</w:t>
      </w:r>
      <w:r>
        <w:t xml:space="preserve">, 2005)</w:t>
      </w:r>
      <w:r>
        <w:t xml:space="preserve">. In addition, most bacteria divide every 20 minutes and thus are able to transfer their antibiotic resistance gene to their offspring. Because of the increasing rate of antibiotic resistance, many infections such as pneumonia, tuberculosis, gonorrhea, and many more are becoming harder to treat</w:t>
      </w:r>
      <w:r>
        <w:t xml:space="preserve"> </w:t>
      </w:r>
      <w:r>
        <w:t xml:space="preserve">(Alanis, 2005)</w:t>
      </w:r>
      <w:r>
        <w:t xml:space="preserve">. It is important to be aware of when we are exposed to pathogenic bacteria because we never know if they carry the antibiotic resistant gene.</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environmental samples as well as culture samples. I created scripts in Bash to sort and analyze through the data that resulted from the Illumina sequencer. I found thousands of sequences in all but one environmental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 for Illumina sequencing. I also used DADA2 and phyloseq for further analysis of the data I was able to obtain from the Illumina sequencing. This allowed for me to visualize my results for better analysis.</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to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antibiotic-resistant microbial communities on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This totaled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tryptic soy agar (TSA) medium on 100mm petri dishes. I added a sterile buffer, PBS, to one of the tubes containing a swab and vortexed the tube. I created 1:1, 1:10, and 1:100 diluted solutions and transferred them to culture plates and spread with beads.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The volumes of reagents required for the mix for one reaction were 10 uL AMP, 0.8 uL 27f primer, 0.8 uL 1492r primer, 1 uL BSA, 1 uL template DNA and 6.4 uL H20. After I created the master mix, I divided the master mix into 7 tubes. 1 uL of DNA from each sample was added to a tube. I added H20 to the seventh tube to serve as the negative control.</w:t>
      </w:r>
    </w:p>
    <w:p>
      <w:pPr>
        <w:pStyle w:val="BodyText"/>
      </w:pPr>
      <w:r>
        <w:t xml:space="preserve">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1X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version 2019.2.3. I received the results from Sanger sequencing as a zip file. I imported my files to Geneious and was able to analyze my sequences. I cleaned up and trimmed the sequences that I confirmed to be usable for BLAST and used IUPAC ambiguity codes for bases that were hard to identify. I confirmed that any sequences that were similar to the negative control were unusable for BLAST. For the rest of the sequences that were usable for BLAST, I cut off the beginning and ends of the sequences due to the noise in those sections of the reads. I used IUPAC ambiguity codes to replace the low-quality nucleotides.</w:t>
      </w:r>
    </w:p>
    <w:p>
      <w:pPr>
        <w:pStyle w:val="BodyText"/>
      </w:pPr>
      <w:r>
        <w:t xml:space="preserve">I used a software called BLAST to match the sequences from my samples to organisms that were in NCBI’s nucleotide database. Multiple organisms were shown from the BLAST results and I chose the top result for each sample. I then used Geneious to create a Bayesian phylogeny and a Maximum Likelihood phylogeny. I created the phylogenies using multiple sequence alignments generated using MAFFT</w:t>
      </w:r>
      <w:r>
        <w:t xml:space="preserve"> </w:t>
      </w:r>
      <w:r>
        <w:t xml:space="preserve">(Katoh</w:t>
      </w:r>
      <w:r>
        <w:t xml:space="preserve"> </w:t>
      </w:r>
      <w:r>
        <w:rPr>
          <w:i/>
        </w:rPr>
        <w:t xml:space="preserve">et al.</w:t>
      </w:r>
      <w:r>
        <w:t xml:space="preserve">, 2009)</w:t>
      </w:r>
      <w:r>
        <w:t xml:space="preserve">. I used the default parameters for MAFFT. I used MrBayes software in Geneious Prime to create a Bayesian phylogeny</w:t>
      </w:r>
      <w:r>
        <w:t xml:space="preserve"> </w:t>
      </w:r>
      <w:r>
        <w:t xml:space="preserve">(Huelsenbeck and Ronquist, 2001)</w:t>
      </w:r>
      <w:r>
        <w:t xml:space="preserve">. For the parameters, I used GTR for the substitution model,</w:t>
      </w:r>
      <w:r>
        <w:t xml:space="preserve"> </w:t>
      </w:r>
      <w:r>
        <w:rPr>
          <w:i/>
        </w:rPr>
        <w:t xml:space="preserve">Thermus aquaticus</w:t>
      </w:r>
      <w:r>
        <w:t xml:space="preserve"> </w:t>
      </w:r>
      <w:r>
        <w:t xml:space="preserve">was used as an outgroup, and I used the default for the rest of the parameters. I used PhyML software to create a Maximum Likelihood phylogeny</w:t>
      </w:r>
      <w:r>
        <w:t xml:space="preserve"> </w:t>
      </w:r>
      <w:r>
        <w:t xml:space="preserve">(Guindon</w:t>
      </w:r>
      <w:r>
        <w:t xml:space="preserve"> </w:t>
      </w:r>
      <w:r>
        <w:rPr>
          <w:i/>
        </w:rPr>
        <w:t xml:space="preserve">et al.</w:t>
      </w:r>
      <w:r>
        <w:t xml:space="preserve">, 2005)</w:t>
      </w:r>
      <w:r>
        <w:t xml:space="preserve">. For the parameters, I used GTR for the substitution model, Bootstrap as branch support,</w:t>
      </w:r>
      <w:r>
        <w:t xml:space="preserve"> </w:t>
      </w:r>
      <w:r>
        <w:rPr>
          <w:i/>
        </w:rPr>
        <w:t xml:space="preserve">Thermus aquaticus</w:t>
      </w:r>
      <w:r>
        <w:t xml:space="preserve"> </w:t>
      </w:r>
      <w:r>
        <w:t xml:space="preserve">was used as an outgroup, and then I used the default for the rest of the parameters. My data reached the minimum of three sequences that was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for one reaction was 10 uL AMP, 0.8 uL 16SF and 0.8 uL 16SR primers, 1 uL BSA, 1 uL DNA template, and 6.4 uL H2O. After I created the master mix, I divided the master mix into 7 tubes. 1 uL of DNA from each sample was added to a tube. I added H20 to the seventh tube to serve as the negative control.</w:t>
      </w:r>
    </w:p>
    <w:p>
      <w:pPr>
        <w:pStyle w:val="BodyText"/>
      </w:pPr>
      <w:r>
        <w:t xml:space="preserve">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created bash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Trimmomatic was used to cut the first five and last five base pairs, cut any base pair with a quality score below 25, as well as cut any sequences that contained less than 140 base pairs. The files needed to be converted from fastq to fasta format because BLAST analysis only works with fasta formatted files. The organism match was based off NCBI’s nucleotide database and I used the single top match.</w:t>
      </w:r>
    </w:p>
    <w:p>
      <w:pPr>
        <w:pStyle w:val="BodyText"/>
      </w:pPr>
      <w:r>
        <w:t xml:space="preserve">DADA2</w:t>
      </w:r>
      <w:r>
        <w:t xml:space="preserve"> </w:t>
      </w:r>
      <w:r>
        <w:t xml:space="preserve">(Callahan</w:t>
      </w:r>
      <w:r>
        <w:t xml:space="preserve"> </w:t>
      </w:r>
      <w:r>
        <w:rPr>
          <w:i/>
        </w:rPr>
        <w:t xml:space="preserve">et al.</w:t>
      </w:r>
      <w:r>
        <w:t xml:space="preserve">, 2016)</w:t>
      </w:r>
      <w:r>
        <w:t xml:space="preserve"> </w:t>
      </w:r>
      <w:r>
        <w:t xml:space="preserve">and phyloseq</w:t>
      </w:r>
      <w:r>
        <w:t xml:space="preserve"> </w:t>
      </w:r>
      <w:r>
        <w:t xml:space="preserve">(McMURDIE and Holmes, 2012)</w:t>
      </w:r>
      <w:r>
        <w:t xml:space="preserve"> </w:t>
      </w:r>
      <w:r>
        <w:t xml:space="preserve">were also used to analyze the environmental samples. DADA2 pipeline was used to process my subsampled 16S fastq files. It was used to filter, trim, generate error models, get rid of duplicated samples, denoise sequences, check for and remove chimeras, create Amplicon Sequence Variants, and assign taxonomy to the sequences. DADA2 was also used to create a phyloseq object that was used for analysis and visualization through packages in R markdown called pyhloseq and dplyr.</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quantified via Qubit analysis (Table 1).</w:t>
      </w:r>
    </w:p>
    <w:p>
      <w:pPr>
        <w:pStyle w:val="BodyText"/>
      </w:pPr>
      <w:r>
        <w:t xml:space="preserve">After receiving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(Table 2).</w:t>
      </w:r>
    </w:p>
    <w:p>
      <w:pPr>
        <w:pStyle w:val="BodyText"/>
      </w:pPr>
      <w:r>
        <w:t xml:space="preserve">The BLAST results indicated which organisms were found in my samples (Table 3).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phylogeny.</w:t>
      </w:r>
      <w:r>
        <w:t xml:space="preserve"> </w:t>
      </w:r>
      <w:r>
        <w:rPr>
          <w:i/>
        </w:rPr>
        <w:t xml:space="preserve">Thermus aquaticus</w:t>
      </w:r>
      <w:r>
        <w:t xml:space="preserve"> </w:t>
      </w:r>
      <w:r>
        <w:t xml:space="preserve">was used as the outgroup for both phylogenies. Bayesian phylogeny (Figure 4) was created to show the relationship between organisms. The Bayesian posterior probability was 0.9912. AS 1P 1:10 and AS 1P 1:100 were grouped together in a monophyletic clade. Maximum Likelihood phylogeny (Figure 5) was created to show the relationship between organisms. The Maximum Likelihood bootstrap value was 99. AS 1P 1:10 and AS 1P 1:100 were grouped together in a monophyletic clade in this phylogeny tree as well.</w:t>
      </w:r>
    </w:p>
    <w:p>
      <w:pPr>
        <w:pStyle w:val="Heading2"/>
      </w:pPr>
      <w:bookmarkStart w:id="37" w:name="environmental-samples"/>
      <w:r>
        <w:t xml:space="preserve">Environmental Samples</w:t>
      </w:r>
      <w:bookmarkEnd w:id="37"/>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portrayed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 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w:t>
      </w:r>
    </w:p>
    <w:p>
      <w:pPr>
        <w:pStyle w:val="BodyText"/>
      </w:pPr>
      <w:r>
        <w:rPr>
          <w:i/>
        </w:rPr>
        <w:t xml:space="preserve">Acidovorax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BodyText"/>
      </w:pPr>
      <w:r>
        <w:t xml:space="preserve">According to my BLAST results that matched with organisms from the NCBI’s nucleotide database,</w:t>
      </w:r>
      <w:r>
        <w:t xml:space="preserve"> </w:t>
      </w:r>
      <w:r>
        <w:rPr>
          <w:i/>
        </w:rPr>
        <w:t xml:space="preserve">Acinetobacter parvus</w:t>
      </w:r>
      <w:r>
        <w:t xml:space="preserve"> </w:t>
      </w:r>
      <w:r>
        <w:t xml:space="preserve">was the most abundant species in the 1P environmental sample with 1573 sequences.</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Acinetobacter parvus</w:t>
      </w:r>
      <w:r>
        <w:t xml:space="preserve"> </w:t>
      </w:r>
      <w:r>
        <w:t xml:space="preserve">was also most abundant in the 1H environmental sample with 534 sequences.</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Serratia liquefaciens</w:t>
      </w:r>
      <w:r>
        <w:t xml:space="preserve"> </w:t>
      </w:r>
      <w:r>
        <w:t xml:space="preserve">was most abundant in the 3H environmental sample with 2075 sequences.</w:t>
      </w:r>
    </w:p>
    <w:p>
      <w:pPr>
        <w:pStyle w:val="BodyText"/>
      </w:pPr>
      <w:r>
        <w:t xml:space="preserve">Overall, the BLAST results show that</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were found to be the most abundant organisms within the environmental samples.</w:t>
      </w:r>
    </w:p>
    <w:p>
      <w:pPr>
        <w:pStyle w:val="BodyText"/>
      </w:pPr>
      <w:r>
        <w:t xml:space="preserve">DADA2 pipeline was used to trim low quality sequences across my samples or discard any sequence with Ns (Table 4). 89 bimeras out of 518 input sequences were identified. I obtained a total of 418 Amplicon Sequence Variants.</w:t>
      </w:r>
    </w:p>
    <w:p>
      <w:pPr>
        <w:pStyle w:val="BodyText"/>
      </w:pPr>
      <w:r>
        <w:t xml:space="preserve">DADA2 results show that Proteobacteria, Actinobacteria, and Firmicutes were the top three phyla that dominated in abundance across my samples (Figure 8).</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were the top three most abundant genus found within the environmental samples (Figure 11).</w:t>
      </w:r>
    </w:p>
    <w:p>
      <w:pPr>
        <w:pStyle w:val="Heading1"/>
      </w:pPr>
      <w:bookmarkStart w:id="38" w:name="discussion"/>
      <w:r>
        <w:t xml:space="preserve">Discussion</w:t>
      </w:r>
      <w:bookmarkEnd w:id="38"/>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 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 When plants become infected by this bacteria, brown blotches begin to appear on the surface of leaves and fruits.</w:t>
      </w:r>
    </w:p>
    <w:p>
      <w:pPr>
        <w:pStyle w:val="BodyText"/>
      </w:pPr>
      <w:r>
        <w:t xml:space="preserve">The sample labeled 1P 1:100 matched with</w:t>
      </w:r>
      <w:r>
        <w:t xml:space="preserve"> </w:t>
      </w:r>
      <w:r>
        <w:rPr>
          <w:i/>
        </w:rPr>
        <w:t xml:space="preserve">Citrobacter freundii</w:t>
      </w:r>
      <w:r>
        <w:t xml:space="preserve"> </w:t>
      </w:r>
      <w:r>
        <w:t xml:space="preserve">strain, a Gram-negative bacteria that is commonly found in a healthy human gut and other strains of this bacteria play important roles in nitrogen fixation in soil microbiomes. Most strains of</w:t>
      </w:r>
      <w:r>
        <w:t xml:space="preserve"> </w:t>
      </w:r>
      <w:r>
        <w:rPr>
          <w:i/>
        </w:rPr>
        <w:t xml:space="preserve">Citrobacter freundii</w:t>
      </w:r>
      <w:r>
        <w:t xml:space="preserve"> </w:t>
      </w:r>
      <w:r>
        <w:t xml:space="preserve">are beneficial to humans, however, some strains of this bacteria are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database.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According to the fastqc report, the environmental samples contained thousands of high quality sequences with the exception of the sample from site 2P which had the lowest count of 14 sequences.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experiment and procedures were to be repeated, I recommend taking caution to avoid any contamination among the samples.</w:t>
      </w:r>
    </w:p>
    <w:p>
      <w:pPr>
        <w:pStyle w:val="BodyText"/>
      </w:pPr>
      <w:r>
        <w:t xml:space="preserve">BLAST results showed that</w:t>
      </w:r>
      <w:r>
        <w:t xml:space="preserve"> </w:t>
      </w:r>
      <w:r>
        <w:rPr>
          <w:i/>
        </w:rPr>
        <w:t xml:space="preserve">Acinetobacter parvus</w:t>
      </w:r>
      <w:r>
        <w:t xml:space="preserve"> </w:t>
      </w:r>
      <w:r>
        <w:t xml:space="preserve">was the most abundant species in the 1P environmental sample with 1573 sequences and in the 1H environmental sample with 534 sequences.</w:t>
      </w:r>
      <w:r>
        <w:t xml:space="preserve"> </w:t>
      </w:r>
      <w:r>
        <w:rPr>
          <w:i/>
        </w:rPr>
        <w:t xml:space="preserve">Acinetobacter</w:t>
      </w:r>
      <w:r>
        <w:t xml:space="preserve"> </w:t>
      </w:r>
      <w:r>
        <w:t xml:space="preserve">bacteria are commonly found in humans, however, can be responsible for a life-threatening disease called sepsis in patients in intensive care units.</w:t>
      </w:r>
      <w:r>
        <w:t xml:space="preserve"> </w:t>
      </w:r>
      <w:r>
        <w:rPr>
          <w:i/>
        </w:rPr>
        <w:t xml:space="preserve">Acinetobacter parvus</w:t>
      </w:r>
      <w:r>
        <w:t xml:space="preserve"> </w:t>
      </w:r>
      <w:r>
        <w:t xml:space="preserve">is different from other</w:t>
      </w:r>
      <w:r>
        <w:t xml:space="preserve"> </w:t>
      </w:r>
      <w:r>
        <w:rPr>
          <w:i/>
        </w:rPr>
        <w:t xml:space="preserve">Acinetobacter</w:t>
      </w:r>
      <w:r>
        <w:t xml:space="preserve"> </w:t>
      </w:r>
      <w:r>
        <w:t xml:space="preserve">strains because it produces significantly smaller colonies than the norm.</w:t>
      </w:r>
      <w:r>
        <w:t xml:space="preserve"> </w:t>
      </w:r>
      <w:r>
        <w:rPr>
          <w:i/>
        </w:rPr>
        <w:t xml:space="preserve">Acinetobacter</w:t>
      </w:r>
      <w:r>
        <w:t xml:space="preserve"> </w:t>
      </w:r>
      <w:r>
        <w:t xml:space="preserve">are naturally antibiotic resistant and can transfer their resistance gene to other bacteria via horizontal gene transfer.</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Enterococcus faecium</w:t>
      </w:r>
      <w:r>
        <w:t xml:space="preserve"> </w:t>
      </w:r>
      <w:r>
        <w:t xml:space="preserve">is a Gram-positive bacterium. It can be innocuous and is typically found in the gastrointestinal tract of animals and humans.</w:t>
      </w:r>
      <w:r>
        <w:t xml:space="preserve"> </w:t>
      </w:r>
      <w:r>
        <w:rPr>
          <w:i/>
        </w:rPr>
        <w:t xml:space="preserve">Enterococcus faecium</w:t>
      </w:r>
      <w:r>
        <w:t xml:space="preserve"> </w:t>
      </w:r>
      <w:r>
        <w:t xml:space="preserve">also has the potential to be pathogenic and can cause diseases such as neonatal meningitis or endocarditis. It has developed multi-drug antibiotic resistance as well as resistance to alcohol-based disinfectants. This bacteria can cause infections of the bloodstream, urinary tract infections, and wound infections associated with catheters or surgery.</w:t>
      </w:r>
      <w:r>
        <w:t xml:space="preserve"> </w:t>
      </w:r>
      <w:r>
        <w:rPr>
          <w:i/>
        </w:rPr>
        <w:t xml:space="preserve">Enterococcus faecium</w:t>
      </w:r>
      <w:r>
        <w:t xml:space="preserve"> </w:t>
      </w:r>
      <w:r>
        <w:t xml:space="preserve">was initially considered to be part of the genus</w:t>
      </w:r>
      <w:r>
        <w:t xml:space="preserve"> </w:t>
      </w:r>
      <w:r>
        <w:rPr>
          <w:i/>
        </w:rPr>
        <w:t xml:space="preserve">Streptococcus</w:t>
      </w:r>
      <w:r>
        <w:t xml:space="preserve">. This bacteria is known to infect people with already weakened immune systems, typically hospitalized patients.</w:t>
      </w:r>
      <w:r>
        <w:t xml:space="preserve"> </w:t>
      </w:r>
      <w:r>
        <w:rPr>
          <w:i/>
        </w:rPr>
        <w:t xml:space="preserve">Enterococcus faecium</w:t>
      </w:r>
      <w:r>
        <w:t xml:space="preserve"> </w:t>
      </w:r>
      <w:r>
        <w:t xml:space="preserve">is believed to be one of the top three leading causes of hospital-acquired infection.</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Sphingomonas</w:t>
      </w:r>
      <w:r>
        <w:t xml:space="preserve"> </w:t>
      </w:r>
      <w:r>
        <w:t xml:space="preserve">bacteria are Gram-negative rod shaped bacteria that have the ability to ability to survive in low concentrations of nutrients. Some strains of this bacteria can cause non-life threatening infections that can easily be treated with antibiotics. It has biodegradative and biosynthetic capabilities which allows biotechnology to use it to produce polymers used in the food industry.</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Mycobacteroides</w:t>
      </w:r>
      <w:r>
        <w:t xml:space="preserve"> </w:t>
      </w:r>
      <w:r>
        <w:t xml:space="preserve">bacteria are pathogenic to humans. Although I was unable to find any articles or journals online about</w:t>
      </w:r>
      <w:r>
        <w:t xml:space="preserve"> </w:t>
      </w:r>
      <w:r>
        <w:rPr>
          <w:i/>
        </w:rPr>
        <w:t xml:space="preserve">Mycobacteroides franklinii</w:t>
      </w:r>
      <w:r>
        <w:t xml:space="preserve">, I found other strains such as</w:t>
      </w:r>
      <w:r>
        <w:t xml:space="preserve"> </w:t>
      </w:r>
      <w:r>
        <w:rPr>
          <w:i/>
        </w:rPr>
        <w:t xml:space="preserve">Mycobacterium abscessus</w:t>
      </w:r>
      <w:r>
        <w:t xml:space="preserve"> </w:t>
      </w:r>
      <w:r>
        <w:t xml:space="preserve">which is a rapidly growing multi-drug antibiotic resistant pathogen that causes chronic lung infection as well as skin and soft tissue infections. It typically infects people who already have a lung disease such as cystic fibrosis or someone who is immunocompromised and has recently undergone surgery, tattooing or acupuncture. Other diseases caused by infection from</w:t>
      </w:r>
      <w:r>
        <w:t xml:space="preserve"> </w:t>
      </w:r>
      <w:r>
        <w:rPr>
          <w:i/>
        </w:rPr>
        <w:t xml:space="preserve">Mycobacterium</w:t>
      </w:r>
      <w:r>
        <w:t xml:space="preserve"> </w:t>
      </w:r>
      <w:r>
        <w:t xml:space="preserve">include tuberculosis and leprosy. Infections from different strains of</w:t>
      </w:r>
      <w:r>
        <w:t xml:space="preserve"> </w:t>
      </w:r>
      <w:r>
        <w:rPr>
          <w:i/>
        </w:rPr>
        <w:t xml:space="preserve">Mycobacterium</w:t>
      </w:r>
      <w:r>
        <w:t xml:space="preserve"> </w:t>
      </w:r>
      <w:r>
        <w:t xml:space="preserve">have been gradually growing and has been difficult to treat due to its resistance to antibiotics.</w:t>
      </w:r>
      <w:r>
        <w:t xml:space="preserve"> </w:t>
      </w:r>
      <w:r>
        <w:rPr>
          <w:i/>
        </w:rPr>
        <w:t xml:space="preserve">Serratia liquefaciens</w:t>
      </w:r>
      <w:r>
        <w:t xml:space="preserve"> </w:t>
      </w:r>
      <w:r>
        <w:t xml:space="preserve">was most abundant in the 3H environmental sample with 2075 sequences. The</w:t>
      </w:r>
      <w:r>
        <w:t xml:space="preserve"> </w:t>
      </w:r>
      <w:r>
        <w:rPr>
          <w:i/>
        </w:rPr>
        <w:t xml:space="preserve">Serratia</w:t>
      </w:r>
      <w:r>
        <w:t xml:space="preserve"> </w:t>
      </w:r>
      <w:r>
        <w:t xml:space="preserve">genus was thought not to be harmful to humans before the 1950s. It wasn’t until the United States Navy conducted a secret experiment called</w:t>
      </w:r>
      <w:r>
        <w:t xml:space="preserve"> </w:t>
      </w:r>
      <w:r>
        <w:t xml:space="preserve">“</w:t>
      </w:r>
      <w:r>
        <w:t xml:space="preserve">Operation Sea-Spray</w:t>
      </w:r>
      <w:r>
        <w:t xml:space="preserve">”</w:t>
      </w:r>
      <w:r>
        <w:t xml:space="preserve"> </w:t>
      </w:r>
      <w:r>
        <w:t xml:space="preserve">wherein which</w:t>
      </w:r>
      <w:r>
        <w:t xml:space="preserve"> </w:t>
      </w:r>
      <w:r>
        <w:rPr>
          <w:i/>
        </w:rPr>
        <w:t xml:space="preserve">Serratia marcescens</w:t>
      </w:r>
      <w:r>
        <w:t xml:space="preserve"> </w:t>
      </w:r>
      <w:r>
        <w:t xml:space="preserve">and</w:t>
      </w:r>
      <w:r>
        <w:t xml:space="preserve"> </w:t>
      </w:r>
      <w:r>
        <w:rPr>
          <w:i/>
        </w:rPr>
        <w:t xml:space="preserve">Bacillus globigii</w:t>
      </w:r>
      <w:r>
        <w:t xml:space="preserve"> </w:t>
      </w:r>
      <w:r>
        <w:t xml:space="preserve">bacteria were sprayed over cities in California that include San Francisco, Daly City, Colma, Sausalito, and other parts of the Bay Area from September 20 to 27, 1950. It was enough dosage for the whole Bay Area’s population of 800,000 to inhale the bacteria particles. This resulted in pneumonia, urinary tract infection, and heart valve infection outbreaks as well as the deaths of many people. The U.S. conducted one of the largest human experiments in history without consent from or informing the citizens. The experiment was later explained to be a</w:t>
      </w:r>
      <w:r>
        <w:t xml:space="preserve"> </w:t>
      </w:r>
      <w:r>
        <w:t xml:space="preserve">“</w:t>
      </w:r>
      <w:r>
        <w:t xml:space="preserve">vulnerability test</w:t>
      </w:r>
      <w:r>
        <w:t xml:space="preserve">”</w:t>
      </w:r>
      <w:r>
        <w:t xml:space="preserve"> </w:t>
      </w:r>
      <w:r>
        <w:t xml:space="preserve">to identify susceptible regions in the event of a biological terrorist attack. San Francisco was chosen for its close proximity to the ocean, as well as its population and tall buildings present throughout its downtown. The city’s own natural fog also masked the spray that was administered. A 1951 military report on the experiment summarized the findings and stated,</w:t>
      </w:r>
      <w:r>
        <w:t xml:space="preserve"> </w:t>
      </w:r>
      <w:r>
        <w:t xml:space="preserve">“</w:t>
      </w:r>
      <w:r>
        <w:t xml:space="preserve">It was noted that a successful BW [biological warfare] attack on this area can be launched from the sea, and that effective dosages can be produced over relatively large areas</w:t>
      </w:r>
      <w:r>
        <w:t xml:space="preserve">”</w:t>
      </w:r>
      <w:r>
        <w:t xml:space="preserve"> </w:t>
      </w:r>
      <w:r>
        <w:t xml:space="preserve">(Kreston)</w:t>
      </w:r>
      <w:r>
        <w:t xml:space="preserve">. The military initially reported that</w:t>
      </w:r>
      <w:r>
        <w:t xml:space="preserve"> </w:t>
      </w:r>
      <w:r>
        <w:rPr>
          <w:i/>
        </w:rPr>
        <w:t xml:space="preserve">Serratia</w:t>
      </w:r>
      <w:r>
        <w:t xml:space="preserve"> </w:t>
      </w:r>
      <w:r>
        <w:t xml:space="preserve">wasn’t causing illnesses because infections from the bacteria did not arise. It was a week after the spray was administered that Stanford hospital noted the outbreaks taking place and identified</w:t>
      </w:r>
      <w:r>
        <w:t xml:space="preserve"> </w:t>
      </w:r>
      <w:r>
        <w:rPr>
          <w:i/>
        </w:rPr>
        <w:t xml:space="preserve">Serraitia</w:t>
      </w:r>
      <w:r>
        <w:t xml:space="preserve"> </w:t>
      </w:r>
      <w:r>
        <w:t xml:space="preserve">as the source of infections and published a report on the outbreaks. In 1981, survivors from the</w:t>
      </w:r>
      <w:r>
        <w:t xml:space="preserve"> </w:t>
      </w:r>
      <w:r>
        <w:t xml:space="preserve">“</w:t>
      </w:r>
      <w:r>
        <w:t xml:space="preserve">biological warfare experiment</w:t>
      </w:r>
      <w:r>
        <w:t xml:space="preserve">”</w:t>
      </w:r>
      <w:r>
        <w:t xml:space="preserve"> </w:t>
      </w:r>
      <w:r>
        <w:t xml:space="preserve">attempted to sue the government for neglecting the public health of citizens and not obtaining proper consent from the people, however, court ruled that the government was immune from lawsuits. They also mentioned that the US Navy only wanted to see if the bacteria particles would reach the citizens and thus they did not intend to cause disease outbreaks across the city. The lawsuit was appealed all the way to the U.S. Supreme Court, but was still denied. It turns out that this wasn’t the last biological warfare test. 239 similar tests were conducted by the U.S. Navy after</w:t>
      </w:r>
      <w:r>
        <w:t xml:space="preserve"> </w:t>
      </w:r>
      <w:r>
        <w:t xml:space="preserve">“</w:t>
      </w:r>
      <w:r>
        <w:t xml:space="preserve">Operation Sea-Spray</w:t>
      </w:r>
      <w:r>
        <w:t xml:space="preserve">”</w:t>
      </w:r>
      <w:r>
        <w:t xml:space="preserve"> </w:t>
      </w:r>
      <w:r>
        <w:t xml:space="preserve">(LaFreniere)</w:t>
      </w:r>
      <w:r>
        <w:t xml:space="preserve">.</w:t>
      </w:r>
    </w:p>
    <w:p>
      <w:pPr>
        <w:pStyle w:val="BodyText"/>
      </w:pPr>
      <w:r>
        <w:t xml:space="preserve">My BLAST results showed that the top three most abundant organisms from my environmental samples were</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w:t>
      </w:r>
      <w:r>
        <w:t xml:space="preserve"> </w:t>
      </w:r>
      <w:r>
        <w:rPr>
          <w:i/>
        </w:rPr>
        <w:t xml:space="preserve">Acinetobacter tandoii</w:t>
      </w:r>
      <w:r>
        <w:t xml:space="preserve"> </w:t>
      </w:r>
      <w:r>
        <w:t xml:space="preserve">is a Gram-negative aerobic bacterium. It plays an important role in soil for it contributes to mineralization of aromatic compounds. However, it is a source of infection in patients in intensive care units in hospitals. It is resistant to both disinfectants and antibiotics such as penicillin, chloramphenicol, and aminoglycosides allowing it to thrive in hospital settings. Infections from this bacteria seem to take place in a hospital setting immediately after surgery.</w:t>
      </w:r>
      <w:r>
        <w:t xml:space="preserve"> </w:t>
      </w:r>
      <w:r>
        <w:rPr>
          <w:i/>
        </w:rPr>
        <w:t xml:space="preserve">Salmonella enterica</w:t>
      </w:r>
      <w:r>
        <w:t xml:space="preserve"> </w:t>
      </w:r>
      <w:r>
        <w:t xml:space="preserve">is a pathogenic Gram-negative bacterium that infects the intestinal tract of humans. It is bacteria that is normally found within the intestines of birds and other animals. Humans normally become infected by eating food or drinking water that has been contaminated by feces. Diarrhea and vomiting are signs of infection. Blood tests are conducted to confirm infection.</w:t>
      </w:r>
      <w:r>
        <w:t xml:space="preserve"> </w:t>
      </w:r>
      <w:r>
        <w:rPr>
          <w:i/>
        </w:rPr>
        <w:t xml:space="preserve">Salmonella enterica</w:t>
      </w:r>
      <w:r>
        <w:t xml:space="preserve"> </w:t>
      </w:r>
      <w:r>
        <w:t xml:space="preserve">is responsible for almost half the bacterial infections in the United States. Infection caused by</w:t>
      </w:r>
      <w:r>
        <w:t xml:space="preserve"> </w:t>
      </w:r>
      <w:r>
        <w:rPr>
          <w:i/>
        </w:rPr>
        <w:t xml:space="preserve">Salmonella enterica</w:t>
      </w:r>
      <w:r>
        <w:t xml:space="preserve"> </w:t>
      </w:r>
      <w:r>
        <w:t xml:space="preserve">usually goes away on its own after about a week. Some infected people may experience little to no symptoms, others will experience symptoms that include diarrhea, nausea, fever, chills, blood in the stool, and abdominal cramps.</w:t>
      </w:r>
      <w:r>
        <w:t xml:space="preserve"> </w:t>
      </w:r>
      <w:r>
        <w:rPr>
          <w:i/>
        </w:rPr>
        <w:t xml:space="preserve">Listeria monocytogenes</w:t>
      </w:r>
      <w:r>
        <w:t xml:space="preserve"> </w:t>
      </w:r>
      <w:r>
        <w:t xml:space="preserve">is a Gram-positive pathogenic bacteria that causes listeriosis, an infection that may cause severe illnesses such as sepsis, meningitis, or encephalitis. It can also cause stillborn and spontaneous abortion in pregnant women. Listeriosis can be transmitted via contaminated food. Infection begins in the intestinal tract and may spread from the intestines to the blood stream or other parts of the body. Fortunately,</w:t>
      </w:r>
      <w:r>
        <w:t xml:space="preserve"> </w:t>
      </w:r>
      <w:r>
        <w:rPr>
          <w:i/>
        </w:rPr>
        <w:t xml:space="preserve">Listeria monocytogenes</w:t>
      </w:r>
      <w:r>
        <w:t xml:space="preserve"> </w:t>
      </w:r>
      <w:r>
        <w:t xml:space="preserve">is susceptible to antibiotics. After further research, I found that research is currently being done on</w:t>
      </w:r>
      <w:r>
        <w:t xml:space="preserve"> </w:t>
      </w:r>
      <w:r>
        <w:rPr>
          <w:i/>
        </w:rPr>
        <w:t xml:space="preserve">Listeria monocytogenes</w:t>
      </w:r>
      <w:r>
        <w:t xml:space="preserve"> </w:t>
      </w:r>
      <w:r>
        <w:t xml:space="preserve">as a cancer immunotherapy to treat cervical cancer and has actually entered clinical trials.</w:t>
      </w:r>
      <w:r>
        <w:t xml:space="preserve"> </w:t>
      </w:r>
      <w:r>
        <w:rPr>
          <w:i/>
        </w:rPr>
        <w:t xml:space="preserve">Listeria monocytogenes</w:t>
      </w:r>
      <w:r>
        <w:t xml:space="preserve"> </w:t>
      </w:r>
      <w:r>
        <w:t xml:space="preserve">is known to infect antigen presenting cells. Advaxix Inc., the company developing the drug, was able to bioengineer the bacterium to be used as a cancer vaccine to be able to deliver tumor antigens directly to the antigen presenting cell thus allowing the tumor to be targeted by the immune system</w:t>
      </w:r>
      <w:r>
        <w:t xml:space="preserve"> </w:t>
      </w:r>
      <w:r>
        <w:t xml:space="preserve">(Singh and Wallecha, 2011)</w:t>
      </w:r>
      <w:r>
        <w:t xml:space="preserve">.</w:t>
      </w:r>
    </w:p>
    <w:p>
      <w:pPr>
        <w:pStyle w:val="BodyText"/>
      </w:pPr>
      <w:r>
        <w:t xml:space="preserve">I am quite surprised that the top three most abundant organisms from my environmental samples are pathogenic. It has allowed for me to be more thoughtful when cleaning and disinfecting areas such as the sink, bathtub, etc. People spend a lot of time in bathrooms and restrooms on a daily basis so it is important to keep it disinfected to prevent any contact with pathogenic bacteria such as the ones found in my samples from both personal and public restrooms. What surprised me the most is how</w:t>
      </w:r>
      <w:r>
        <w:t xml:space="preserve"> </w:t>
      </w:r>
      <w:r>
        <w:rPr>
          <w:i/>
        </w:rPr>
        <w:t xml:space="preserve">Listeria monocytogenes</w:t>
      </w:r>
      <w:r>
        <w:t xml:space="preserve"> </w:t>
      </w:r>
      <w:r>
        <w:t xml:space="preserve">is being used for a cancer vaccine that is currently undergoing clinical trials. The illnesses that derive from infection from</w:t>
      </w:r>
      <w:r>
        <w:t xml:space="preserve"> </w:t>
      </w:r>
      <w:r>
        <w:rPr>
          <w:i/>
        </w:rPr>
        <w:t xml:space="preserve">Listeria monocytogenes</w:t>
      </w:r>
      <w:r>
        <w:t xml:space="preserve"> </w:t>
      </w:r>
      <w:r>
        <w:t xml:space="preserve">are so severe and to think that it can treat women with cervical cancer is mind blowing and shows how far science has come.</w:t>
      </w:r>
    </w:p>
    <w:p>
      <w:pPr>
        <w:pStyle w:val="BodyText"/>
      </w:pPr>
      <w:r>
        <w:t xml:space="preserve">Although my BLAST results showed</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to be the most abundant bacteria overall among my environmental samples, my DADA2-based results show that</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are the most abundant. As mentioned,</w:t>
      </w:r>
      <w:r>
        <w:t xml:space="preserve"> </w:t>
      </w:r>
      <w:r>
        <w:rPr>
          <w:i/>
        </w:rPr>
        <w:t xml:space="preserve">Acinetobacter</w:t>
      </w:r>
      <w:r>
        <w:t xml:space="preserve"> </w:t>
      </w:r>
      <w:r>
        <w:t xml:space="preserve">is a pathogenic bacteria that is found to be resistant to both disinfectants and antibiotics.</w:t>
      </w:r>
      <w:r>
        <w:t xml:space="preserve"> </w:t>
      </w:r>
      <w:r>
        <w:rPr>
          <w:i/>
        </w:rPr>
        <w:t xml:space="preserve">Acidovorax</w:t>
      </w:r>
      <w:r>
        <w:t xml:space="preserve"> </w:t>
      </w:r>
      <w:r>
        <w:t xml:space="preserve">is an organism that was also found in my cultured sample 1P. It is a bacteria known to cause disease in plants. Disease from</w:t>
      </w:r>
      <w:r>
        <w:t xml:space="preserve"> </w:t>
      </w:r>
      <w:r>
        <w:rPr>
          <w:i/>
        </w:rPr>
        <w:t xml:space="preserve">Acidovorax</w:t>
      </w:r>
      <w:r>
        <w:t xml:space="preserve"> </w:t>
      </w:r>
      <w:r>
        <w:t xml:space="preserve">is indicated by brown blotches on leaves and fruits.</w:t>
      </w:r>
      <w:r>
        <w:t xml:space="preserve"> </w:t>
      </w:r>
      <w:r>
        <w:rPr>
          <w:i/>
        </w:rPr>
        <w:t xml:space="preserve">Pseudomonas</w:t>
      </w:r>
      <w:r>
        <w:t xml:space="preserve"> </w:t>
      </w:r>
      <w:r>
        <w:t xml:space="preserve">includes bacteria that are pathogenic to animals, plants, and humans. Bacteria that fall under this phyla are resistant to most antibiotics. They have efflux pumps that have the ability to pump out the antibiotics before they are able to act.</w:t>
      </w:r>
    </w:p>
    <w:p>
      <w:pPr>
        <w:pStyle w:val="BodyText"/>
      </w:pPr>
      <w:r>
        <w:t xml:space="preserve">Proteobacteria is a phylum of bacteria that covers Gram-negative bacteria. DADA2 showed that his phylum was found in high abundance in both personal and public restrooms. It was interesting to find this in my samples because Proteobacteria includes pathogens such as</w:t>
      </w:r>
      <w:r>
        <w:t xml:space="preserve"> </w:t>
      </w:r>
      <w:r>
        <w:rPr>
          <w:i/>
        </w:rPr>
        <w:t xml:space="preserve">Escherichia</w:t>
      </w:r>
      <w:r>
        <w:t xml:space="preserve"> </w:t>
      </w:r>
      <w:r>
        <w:t xml:space="preserve">and</w:t>
      </w:r>
      <w:r>
        <w:t xml:space="preserve"> </w:t>
      </w:r>
      <w:r>
        <w:rPr>
          <w:i/>
        </w:rPr>
        <w:t xml:space="preserve">Salmonella</w:t>
      </w:r>
      <w:r>
        <w:t xml:space="preserve">. However, free-living bacteria responsible for nitrogen fixation also fall under this phylum. Therefore, I cannot confidently conclude that I am exposed to pathogenic bacteria in both private and public restrooms. Actinobacteria is a phylum of bacteria found in high abundance across my samples. It is a phylum of Gram-positive bacteria that play important roles in soil systems. Bacteria in this phylum are responsible for decomposing organic matter of dead organisms so that the molecules could be taken up by plants. Firmicutes is another phylum found in high abundance across my samples per DADA2 results. Contrary to Proteobacteria that contain extremely high GC content, Firmicutes, is a phylum of bacteria that is low in GC content. It makes up the largest portion of mouse and human microbiome. Proteobacteria, Proteobacteria, and Firmicutes are also the most abundant phyla of bacteria found within the human gut. Altogether, the bacteria in the gut play an important role in helping control digestion, the immune system and many other aspects of health. An imbalanced gut microbiota may contribute to diseases such as weight gain, high blood sugar, high cholesterol, and more.</w:t>
      </w:r>
    </w:p>
    <w:p>
      <w:pPr>
        <w:pStyle w:val="BodyText"/>
      </w:pPr>
      <w:r>
        <w:t xml:space="preserve">Although I was able to find bacteria that play important roles in the human gut, biotechnology manufacturing, and other important roles in soil and crops, my research has shown that the majority of organisms found in both personal bathroom sinks and public restroom sinks are pathogenic and can cause a wide range of diseases in humans. In addition, most of the organisms are known to be resistant to many drugs, antibiotics, and disinfectants. This means that people are coming into close contact with bacteria that can lead to serious disease that may not be easily treated. This means that more research needs to conducted on alternative treatments for infections caused by antibiotic resistant bacteria. Healthcare providers must also be aware of the amount of antibiotics being administered to their patients to prevent populations of antibiotic resistant bacteria from growing. The amount of pathogenic bacteria across my samples and sites were similar and all in the thousands range. Therefore, whether someone is using a personal bathroom sink or public restroom sink they will still be in close proximity to all sorts of bacteria including many of which that are becoming more and more antibiotic resistant.</w:t>
      </w:r>
    </w:p>
    <w:p>
      <w:pPr>
        <w:pStyle w:val="BodyText"/>
      </w:pPr>
      <w:r>
        <w:t xml:space="preserve">The Shannon Diversity Index (Figure 9) shows that on average, personal restrooms and public restrooms have similar species diversity and evenness. This results adds confirmation to the conclusion that there are no significant differences found between the microbiome of personal bathroom sinks and public restroom sinks. However, the graph shows that personal bathrooms have an overall higher species diversity and evenness compared to public restrooms. The alpha diversity measure of personal bathrooms ranges from approximately 3.5-4.1 whereas the alpha diversity measure of public restrooms range from approximately 0-3.9. The sample 2P from public restrooms had 4 sequences after trimming, which could explain the wide range in alpha diversity measure that starts at 0 for public restrooms.</w:t>
      </w:r>
    </w:p>
    <w:p>
      <w:pPr>
        <w:pStyle w:val="BodyText"/>
      </w:pPr>
      <w:r>
        <w:t xml:space="preserve">Because I didn’t find any statistical signficant differences between the micrbiobiomes of personal bathroom sinks and public restroom sinks, I can conclude that my hypothesis was proven to be false. My findings show that the number of people who have access to or come into contact with a sink does not affect the microbial community found within it. The personal bathrooms that I obtained my samples from were limited to a maximum of five people who use it on a daily basis but yet showed a higher count of colonies and morphotypes when cultured as well as a higher diversity and evenness of species according to the Shannon Diversity Index. In addition, the public restroom sinks I obtained my samples from, which were open for the public to utilze, had a much smaller colony and morphotype abundance when grown on culture and an overall smaller diversity and evenness according to the Shannon Diveristy Index. I obtained all my samples in the morning after the personal bathroom sinks have been utilized by multiple members of each household as well as when public restroom had just opened, presumably cleaned, and unused. Therefore, how or when the sink is cleaned seems to be the factor that drives the microbial community found on the surface of sinks whether they are in personal residential homes or public places.</w:t>
      </w:r>
    </w:p>
    <w:p>
      <w:pPr>
        <w:pStyle w:val="BodyText"/>
      </w:pPr>
      <w:r>
        <w:t xml:space="preserve">If I were to do further research, there would be some variables to take into consideration that I did not consider prior to starting this experiment. First, I would take a larger number of samples. The six samples I obtained did not provide enough data since the results I achieved showed no significant differences across my samples. Other variables I would consider for next time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cleaned at the time of field sampling. This means that maintaining a clean environment is necessary to ensure our well being. It is important to know the possible organisms we come into contact with to prepare for potential illness that may arise. My experiment has shown that humans can come into contact with many pathogenic microorganisms. With the increasing number of multi-drug and antibiotic resistant bacteria, we must hurry to find new ways of treating infections that may arise from it.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39" w:name="figures"/>
      <w:r>
        <w:t xml:space="preserve">Figures</w:t>
      </w:r>
      <w:bookmarkEnd w:id="39"/>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42"/>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Bayesian phylogeny with</w:t>
      </w:r>
      <w:r>
        <w:t xml:space="preserve"> </w:t>
      </w:r>
      <w:r>
        <w:rPr>
          <w:i/>
        </w:rPr>
        <w:t xml:space="preserve">Thermus aquaticus</w:t>
      </w:r>
      <w:r>
        <w:t xml:space="preserve"> </w:t>
      </w:r>
      <w:r>
        <w:t xml:space="preserve">as an outgroup. Bayesian posterior probability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lpha-diversity-metrics-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According to Shannon Diversity Index, personal bathrooms and public restrooms have a similar species diversity and evenness mean. However, personal bathrooms have an overall higher species diversity and evenness compared to public restrooms.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plot-of-taxa-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The number of sequences found present within the samples organized by the phylum to which the organism belongs to.</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mary-table-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The overall abundance of organisms by phyla.</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sv-richness-across-samples-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Comparison of phylum abundance between personal bathrooms and public restrooms. 2P environmental sample site was not taken into consideration for this figure.</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bundance-of-Acinetobacter-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Abundance of</w:t>
      </w:r>
      <w:r>
        <w:t xml:space="preserve"> </w:t>
      </w:r>
      <w:r>
        <w:rPr>
          <w:i/>
        </w:rPr>
        <w:t xml:space="preserve">Acinetobacter</w:t>
      </w:r>
      <w:r>
        <w:t xml:space="preserve"> </w:t>
      </w:r>
      <w:r>
        <w:t xml:space="preserve">across samples.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top-genera-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Abundance of organisms present in samples by genus.</w:t>
      </w:r>
    </w:p>
    <w:p>
      <w:pPr>
        <w:pStyle w:val="Heading1"/>
      </w:pPr>
      <w:bookmarkStart w:id="51" w:name="tables"/>
      <w:r>
        <w:t xml:space="preserve">Tables</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Table 1:</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Table 2:</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rPr>
                <w:i/>
              </w:rPr>
              <w:t xml:space="preserve">Acidovorax temperans</w:t>
            </w:r>
            <w:r>
              <w:t xml:space="preserve"> </w:t>
            </w:r>
            <w:r>
              <w:t xml:space="preserve">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rPr>
                <w:i/>
              </w:rPr>
              <w:t xml:space="preserve">Citrobacter freundii</w:t>
            </w:r>
            <w:r>
              <w:t xml:space="preserve"> </w:t>
            </w:r>
            <w:r>
              <w:t xml:space="preserve">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rPr>
                <w:i/>
              </w:rP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Table 3:</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Reads In</w:t>
            </w:r>
          </w:p>
        </w:tc>
        <w:tc>
          <w:tcPr>
            <w:tcBorders>
              <w:bottom w:val="single"/>
            </w:tcBorders>
            <w:vAlign w:val="bottom"/>
          </w:tcPr>
          <w:p>
            <w:pPr>
              <w:pStyle w:val="Compact"/>
              <w:jc w:val="right"/>
            </w:pPr>
            <w:r>
              <w:t xml:space="preserve">Reads Out</w:t>
            </w:r>
          </w:p>
        </w:tc>
      </w:tr>
      <w:tr>
        <w:tc>
          <w:p>
            <w:pPr>
              <w:pStyle w:val="Compact"/>
              <w:jc w:val="left"/>
            </w:pPr>
            <w:r>
              <w:t xml:space="preserve">AS-1H_S10_L001_R1_001.fastq</w:t>
            </w:r>
          </w:p>
        </w:tc>
        <w:tc>
          <w:p>
            <w:pPr>
              <w:pStyle w:val="Compact"/>
              <w:jc w:val="right"/>
            </w:pPr>
            <w:r>
              <w:t xml:space="preserve">6389</w:t>
            </w:r>
          </w:p>
        </w:tc>
        <w:tc>
          <w:p>
            <w:pPr>
              <w:pStyle w:val="Compact"/>
              <w:jc w:val="right"/>
            </w:pPr>
            <w:r>
              <w:t xml:space="preserve">6373</w:t>
            </w:r>
          </w:p>
        </w:tc>
      </w:tr>
      <w:tr>
        <w:tc>
          <w:p>
            <w:pPr>
              <w:pStyle w:val="Compact"/>
              <w:jc w:val="left"/>
            </w:pPr>
            <w:r>
              <w:t xml:space="preserve">AS-1P_S7_L001_R1_001.fastq</w:t>
            </w:r>
          </w:p>
        </w:tc>
        <w:tc>
          <w:p>
            <w:pPr>
              <w:pStyle w:val="Compact"/>
              <w:jc w:val="right"/>
            </w:pPr>
            <w:r>
              <w:t xml:space="preserve">8816</w:t>
            </w:r>
          </w:p>
        </w:tc>
        <w:tc>
          <w:p>
            <w:pPr>
              <w:pStyle w:val="Compact"/>
              <w:jc w:val="right"/>
            </w:pPr>
            <w:r>
              <w:t xml:space="preserve">8799</w:t>
            </w:r>
          </w:p>
        </w:tc>
      </w:tr>
      <w:tr>
        <w:tc>
          <w:p>
            <w:pPr>
              <w:pStyle w:val="Compact"/>
              <w:jc w:val="left"/>
            </w:pPr>
            <w:r>
              <w:t xml:space="preserve">AS-2H_S11_L001_R1_001.fastq</w:t>
            </w:r>
          </w:p>
        </w:tc>
        <w:tc>
          <w:p>
            <w:pPr>
              <w:pStyle w:val="Compact"/>
              <w:jc w:val="right"/>
            </w:pPr>
            <w:r>
              <w:t xml:space="preserve">4581</w:t>
            </w:r>
          </w:p>
        </w:tc>
        <w:tc>
          <w:p>
            <w:pPr>
              <w:pStyle w:val="Compact"/>
              <w:jc w:val="right"/>
            </w:pPr>
            <w:r>
              <w:t xml:space="preserve">4572</w:t>
            </w:r>
          </w:p>
        </w:tc>
      </w:tr>
      <w:tr>
        <w:tc>
          <w:p>
            <w:pPr>
              <w:pStyle w:val="Compact"/>
              <w:jc w:val="left"/>
            </w:pPr>
            <w:r>
              <w:t xml:space="preserve">AS-2P_S8_L001_R1_001.fastq</w:t>
            </w:r>
          </w:p>
        </w:tc>
        <w:tc>
          <w:p>
            <w:pPr>
              <w:pStyle w:val="Compact"/>
              <w:jc w:val="right"/>
            </w:pPr>
            <w:r>
              <w:t xml:space="preserve">14</w:t>
            </w:r>
          </w:p>
        </w:tc>
        <w:tc>
          <w:p>
            <w:pPr>
              <w:pStyle w:val="Compact"/>
              <w:jc w:val="right"/>
            </w:pPr>
            <w:r>
              <w:t xml:space="preserve">12</w:t>
            </w:r>
          </w:p>
        </w:tc>
      </w:tr>
      <w:tr>
        <w:tc>
          <w:p>
            <w:pPr>
              <w:pStyle w:val="Compact"/>
              <w:jc w:val="left"/>
            </w:pPr>
            <w:r>
              <w:t xml:space="preserve">AS-3H_S12_L001_R1_001.fastq</w:t>
            </w:r>
          </w:p>
        </w:tc>
        <w:tc>
          <w:p>
            <w:pPr>
              <w:pStyle w:val="Compact"/>
              <w:jc w:val="right"/>
            </w:pPr>
            <w:r>
              <w:t xml:space="preserve">10579</w:t>
            </w:r>
          </w:p>
        </w:tc>
        <w:tc>
          <w:p>
            <w:pPr>
              <w:pStyle w:val="Compact"/>
              <w:jc w:val="right"/>
            </w:pPr>
            <w:r>
              <w:t xml:space="preserve">10562</w:t>
            </w:r>
          </w:p>
        </w:tc>
      </w:tr>
      <w:tr>
        <w:tc>
          <w:p>
            <w:pPr>
              <w:pStyle w:val="Compact"/>
              <w:jc w:val="left"/>
            </w:pPr>
            <w:r>
              <w:t xml:space="preserve">AS-3P_S9_L001_R1_001.fastq</w:t>
            </w:r>
          </w:p>
        </w:tc>
        <w:tc>
          <w:p>
            <w:pPr>
              <w:pStyle w:val="Compact"/>
              <w:jc w:val="right"/>
            </w:pPr>
            <w:r>
              <w:t xml:space="preserve">5808</w:t>
            </w:r>
          </w:p>
        </w:tc>
        <w:tc>
          <w:p>
            <w:pPr>
              <w:pStyle w:val="Compact"/>
              <w:jc w:val="right"/>
            </w:pPr>
            <w:r>
              <w:t xml:space="preserve">5803</w:t>
            </w:r>
          </w:p>
        </w:tc>
      </w:tr>
      <w:tr>
        <w:tc>
          <w:p>
            <w:pPr>
              <w:pStyle w:val="Compact"/>
              <w:jc w:val="left"/>
            </w:pPr>
            <w:r>
              <w:t xml:space="preserve">control-neg1_S79_L001_R1_001.fastq</w:t>
            </w:r>
          </w:p>
        </w:tc>
        <w:tc>
          <w:p>
            <w:pPr>
              <w:pStyle w:val="Compact"/>
              <w:jc w:val="right"/>
            </w:pPr>
            <w:r>
              <w:t xml:space="preserve">10990</w:t>
            </w:r>
          </w:p>
        </w:tc>
        <w:tc>
          <w:p>
            <w:pPr>
              <w:pStyle w:val="Compact"/>
              <w:jc w:val="right"/>
            </w:pPr>
            <w:r>
              <w:t xml:space="preserve">10969</w:t>
            </w:r>
          </w:p>
        </w:tc>
      </w:tr>
      <w:tr>
        <w:tc>
          <w:p>
            <w:pPr>
              <w:pStyle w:val="Compact"/>
              <w:jc w:val="left"/>
            </w:pPr>
            <w:r>
              <w:t xml:space="preserve">control-neg2_S80_L001_R1_001.fastq</w:t>
            </w:r>
          </w:p>
        </w:tc>
        <w:tc>
          <w:p>
            <w:pPr>
              <w:pStyle w:val="Compact"/>
              <w:jc w:val="right"/>
            </w:pPr>
            <w:r>
              <w:t xml:space="preserve">3290</w:t>
            </w:r>
          </w:p>
        </w:tc>
        <w:tc>
          <w:p>
            <w:pPr>
              <w:pStyle w:val="Compact"/>
              <w:jc w:val="right"/>
            </w:pPr>
            <w:r>
              <w:t xml:space="preserve">3279</w:t>
            </w:r>
          </w:p>
        </w:tc>
      </w:tr>
      <w:tr>
        <w:tc>
          <w:p>
            <w:pPr>
              <w:pStyle w:val="Compact"/>
              <w:jc w:val="left"/>
            </w:pPr>
            <w:r>
              <w:t xml:space="preserve">control-neg3_S81_L001_R1_001.fastq</w:t>
            </w:r>
          </w:p>
        </w:tc>
        <w:tc>
          <w:p>
            <w:pPr>
              <w:pStyle w:val="Compact"/>
              <w:jc w:val="right"/>
            </w:pPr>
            <w:r>
              <w:t xml:space="preserve">13837</w:t>
            </w:r>
          </w:p>
        </w:tc>
        <w:tc>
          <w:p>
            <w:pPr>
              <w:pStyle w:val="Compact"/>
              <w:jc w:val="right"/>
            </w:pPr>
            <w:r>
              <w:t xml:space="preserve">13818</w:t>
            </w:r>
          </w:p>
        </w:tc>
      </w:tr>
      <w:tr>
        <w:tc>
          <w:p>
            <w:pPr>
              <w:pStyle w:val="Compact"/>
              <w:jc w:val="left"/>
            </w:pPr>
            <w:r>
              <w:t xml:space="preserve">control-neg4_S82_L001_R1_001.fastq</w:t>
            </w:r>
          </w:p>
        </w:tc>
        <w:tc>
          <w:p>
            <w:pPr>
              <w:pStyle w:val="Compact"/>
              <w:jc w:val="right"/>
            </w:pPr>
            <w:r>
              <w:t xml:space="preserve">7825</w:t>
            </w:r>
          </w:p>
        </w:tc>
        <w:tc>
          <w:p>
            <w:pPr>
              <w:pStyle w:val="Compact"/>
              <w:jc w:val="right"/>
            </w:pPr>
            <w:r>
              <w:t xml:space="preserve">7811</w:t>
            </w:r>
          </w:p>
        </w:tc>
      </w:tr>
      <w:tr>
        <w:tc>
          <w:p>
            <w:pPr>
              <w:pStyle w:val="Compact"/>
              <w:jc w:val="left"/>
            </w:pPr>
            <w:r>
              <w:t xml:space="preserve">control-zymo1_S83_L001_R1_001.fastq</w:t>
            </w:r>
          </w:p>
        </w:tc>
        <w:tc>
          <w:p>
            <w:pPr>
              <w:pStyle w:val="Compact"/>
              <w:jc w:val="right"/>
            </w:pPr>
            <w:r>
              <w:t xml:space="preserve">5236</w:t>
            </w:r>
          </w:p>
        </w:tc>
        <w:tc>
          <w:p>
            <w:pPr>
              <w:pStyle w:val="Compact"/>
              <w:jc w:val="right"/>
            </w:pPr>
            <w:r>
              <w:t xml:space="preserve">5233</w:t>
            </w:r>
          </w:p>
        </w:tc>
      </w:tr>
      <w:tr>
        <w:tc>
          <w:p>
            <w:pPr>
              <w:pStyle w:val="Compact"/>
              <w:jc w:val="left"/>
            </w:pPr>
            <w:r>
              <w:t xml:space="preserve">control-zymo2_S84_L001_R1_001.fastq</w:t>
            </w:r>
          </w:p>
        </w:tc>
        <w:tc>
          <w:p>
            <w:pPr>
              <w:pStyle w:val="Compact"/>
              <w:jc w:val="right"/>
            </w:pPr>
            <w:r>
              <w:t xml:space="preserve">4139</w:t>
            </w:r>
          </w:p>
        </w:tc>
        <w:tc>
          <w:p>
            <w:pPr>
              <w:pStyle w:val="Compact"/>
              <w:jc w:val="right"/>
            </w:pPr>
            <w:r>
              <w:t xml:space="preserve">4134</w:t>
            </w:r>
          </w:p>
        </w:tc>
      </w:tr>
      <w:tr>
        <w:tc>
          <w:p>
            <w:pPr>
              <w:pStyle w:val="Compact"/>
              <w:jc w:val="left"/>
            </w:pPr>
            <w:r>
              <w:t xml:space="preserve">control-zymo3_S85_L001_R1_001.fastq</w:t>
            </w:r>
          </w:p>
        </w:tc>
        <w:tc>
          <w:p>
            <w:pPr>
              <w:pStyle w:val="Compact"/>
              <w:jc w:val="right"/>
            </w:pPr>
            <w:r>
              <w:t xml:space="preserve">8448</w:t>
            </w:r>
          </w:p>
        </w:tc>
        <w:tc>
          <w:p>
            <w:pPr>
              <w:pStyle w:val="Compact"/>
              <w:jc w:val="right"/>
            </w:pPr>
            <w:r>
              <w:t xml:space="preserve">8426</w:t>
            </w:r>
          </w:p>
        </w:tc>
      </w:tr>
      <w:tr>
        <w:tc>
          <w:p>
            <w:pPr>
              <w:pStyle w:val="Compact"/>
              <w:jc w:val="left"/>
            </w:pPr>
            <w:r>
              <w:t xml:space="preserve">control-zymo4_S86_L001_R1_001.fastq</w:t>
            </w:r>
          </w:p>
        </w:tc>
        <w:tc>
          <w:p>
            <w:pPr>
              <w:pStyle w:val="Compact"/>
              <w:jc w:val="right"/>
            </w:pPr>
            <w:r>
              <w:t xml:space="preserve">9287</w:t>
            </w:r>
          </w:p>
        </w:tc>
        <w:tc>
          <w:p>
            <w:pPr>
              <w:pStyle w:val="Compact"/>
              <w:jc w:val="right"/>
            </w:pPr>
            <w:r>
              <w:t xml:space="preserve">9271</w:t>
            </w:r>
          </w:p>
        </w:tc>
      </w:tr>
    </w:tbl>
    <w:p>
      <w:pPr>
        <w:pStyle w:val="BodyText"/>
      </w:pPr>
      <w:r>
        <w:rPr>
          <w:b/>
        </w:rPr>
        <w:t xml:space="preserve">Table 4:</w:t>
      </w:r>
      <w:r>
        <w:t xml:space="preserve"> </w:t>
      </w:r>
      <w:r>
        <w:t xml:space="preserve">Number of sequences before and after trimming via DADA2 pipeline.</w:t>
      </w:r>
    </w:p>
    <w:p>
      <w:pPr>
        <w:pStyle w:val="Heading1"/>
      </w:pPr>
      <w:bookmarkStart w:id="52" w:name="sources-cited"/>
      <w:r>
        <w:t xml:space="preserve">Sources Cited</w:t>
      </w:r>
      <w:bookmarkEnd w:id="52"/>
    </w:p>
    <w:bookmarkStart w:id="80" w:name="refs"/>
    <w:bookmarkStart w:id="53"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53"/>
    <w:bookmarkStart w:id="54" w:name="ref-alanis2005resistance"/>
    <w:p>
      <w:pPr>
        <w:pStyle w:val="Bibliography"/>
      </w:pPr>
      <w:r>
        <w:t xml:space="preserve">Alanis,A.J. (2005) Resistance to antibiotics: Are we in the post-antibiotic era?</w:t>
      </w:r>
      <w:r>
        <w:t xml:space="preserve"> </w:t>
      </w:r>
      <w:r>
        <w:rPr>
          <w:i/>
        </w:rPr>
        <w:t xml:space="preserve">Archives of medical research</w:t>
      </w:r>
      <w:r>
        <w:t xml:space="preserve">,</w:t>
      </w:r>
      <w:r>
        <w:t xml:space="preserve"> </w:t>
      </w:r>
      <w:r>
        <w:rPr>
          <w:b/>
        </w:rPr>
        <w:t xml:space="preserve">36</w:t>
      </w:r>
      <w:r>
        <w:t xml:space="preserve">, 697–705.</w:t>
      </w:r>
    </w:p>
    <w:bookmarkEnd w:id="54"/>
    <w:bookmarkStart w:id="55"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55"/>
    <w:bookmarkStart w:id="56"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56"/>
    <w:bookmarkStart w:id="57"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7"/>
    <w:bookmarkStart w:id="58"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58"/>
    <w:bookmarkStart w:id="59"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59"/>
    <w:bookmarkStart w:id="60"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60"/>
    <w:bookmarkStart w:id="61"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61"/>
    <w:bookmarkStart w:id="62"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62"/>
    <w:bookmarkStart w:id="63"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63"/>
    <w:bookmarkStart w:id="64"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64"/>
    <w:bookmarkStart w:id="65" w:name="ref-krestonblood"/>
    <w:p>
      <w:pPr>
        <w:pStyle w:val="Bibliography"/>
      </w:pPr>
      <w:r>
        <w:t xml:space="preserve">Kreston,R. Blood &amp; fog: The military’s germ warfare tests in san francisco.</w:t>
      </w:r>
    </w:p>
    <w:bookmarkEnd w:id="65"/>
    <w:bookmarkStart w:id="66" w:name="ref-lafreniere10forgiveness"/>
    <w:p>
      <w:pPr>
        <w:pStyle w:val="Bibliography"/>
      </w:pPr>
      <w:r>
        <w:t xml:space="preserve">LaFreniere,D. Forgiveness or permission: How may the united states government conduct experiments on the public or in public?</w:t>
      </w:r>
      <w:r>
        <w:t xml:space="preserve"> </w:t>
      </w:r>
      <w:r>
        <w:rPr>
          <w:i/>
        </w:rPr>
        <w:t xml:space="preserve">Journal of Biosecurity, Biosafety, and Biodefense Law</w:t>
      </w:r>
      <w:r>
        <w:t xml:space="preserve">,</w:t>
      </w:r>
      <w:r>
        <w:t xml:space="preserve"> </w:t>
      </w:r>
      <w:r>
        <w:rPr>
          <w:b/>
        </w:rPr>
        <w:t xml:space="preserve">10</w:t>
      </w:r>
      <w:r>
        <w:t xml:space="preserve">.</w:t>
      </w:r>
    </w:p>
    <w:bookmarkEnd w:id="66"/>
    <w:bookmarkStart w:id="67" w:name="ref-mcmurdie2012phyloseq"/>
    <w:p>
      <w:pPr>
        <w:pStyle w:val="Bibliography"/>
      </w:pPr>
      <w:r>
        <w:t xml:space="preserve">McMURDIE,P.J. and Holmes,S. (2012) Phyloseq: A bioconductor package for handling and analysis of high-throughput phylogenetic sequence data. In,</w:t>
      </w:r>
      <w:r>
        <w:t xml:space="preserve"> </w:t>
      </w:r>
      <w:r>
        <w:rPr>
          <w:i/>
        </w:rPr>
        <w:t xml:space="preserve">Biocomputing 2012</w:t>
      </w:r>
      <w:r>
        <w:t xml:space="preserve">. World Scientific, pp. 235–246.</w:t>
      </w:r>
    </w:p>
    <w:bookmarkEnd w:id="67"/>
    <w:bookmarkStart w:id="68"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68"/>
    <w:bookmarkStart w:id="69"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69"/>
    <w:bookmarkStart w:id="70"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70"/>
    <w:bookmarkStart w:id="71"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71"/>
    <w:bookmarkStart w:id="72"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72"/>
    <w:bookmarkStart w:id="73"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73"/>
    <w:bookmarkStart w:id="74"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74"/>
    <w:bookmarkStart w:id="75"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75"/>
    <w:bookmarkStart w:id="76"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76"/>
    <w:bookmarkStart w:id="77" w:name="ref-singh2011cancer"/>
    <w:p>
      <w:pPr>
        <w:pStyle w:val="Bibliography"/>
      </w:pPr>
      <w:r>
        <w:t xml:space="preserve">Singh,R. and Wallecha,A. (2011) Cancer immunotherapy using recombinant listeria monocytogenes: Transition from bench to clinic.</w:t>
      </w:r>
      <w:r>
        <w:t xml:space="preserve"> </w:t>
      </w:r>
      <w:r>
        <w:rPr>
          <w:i/>
        </w:rPr>
        <w:t xml:space="preserve">Human vaccines</w:t>
      </w:r>
      <w:r>
        <w:t xml:space="preserve">,</w:t>
      </w:r>
      <w:r>
        <w:t xml:space="preserve"> </w:t>
      </w:r>
      <w:r>
        <w:rPr>
          <w:b/>
        </w:rPr>
        <w:t xml:space="preserve">7</w:t>
      </w:r>
      <w:r>
        <w:t xml:space="preserve">, 497–505.</w:t>
      </w:r>
    </w:p>
    <w:bookmarkEnd w:id="77"/>
    <w:bookmarkStart w:id="78"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78"/>
    <w:bookmarkStart w:id="79"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2" Target="media/rId42.jp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2019-12-13T05:10:14Z</dcterms:created>
  <dcterms:modified xsi:type="dcterms:W3CDTF">2019-12-13T05:10:14Z</dcterms:modified>
</cp:coreProperties>
</file>