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0.png" ContentType="image/png"/>
  <Override PartName="/word/media/rId41.png" ContentType="image/png"/>
  <Override PartName="/word/media/rId46.png" ContentType="image/png"/>
  <Override PartName="/word/media/rId47.png" ContentType="image/png"/>
  <Override PartName="/word/media/rId50.png" ContentType="image/png"/>
  <Override PartName="/word/media/rId42.jpg" ContentType="image/jpe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w:t>
      </w:r>
      <w:r>
        <w:t xml:space="preserve"> </w:t>
      </w:r>
      <w:r>
        <w:t xml:space="preserve">(Ranjan and Ranjan, 2013)</w:t>
      </w:r>
      <w:r>
        <w:t xml:space="preserve">.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w:t>
      </w:r>
      <w:r>
        <w:t xml:space="preserve"> </w:t>
      </w:r>
      <w:r>
        <w:t xml:space="preserve">(Reynolds</w:t>
      </w:r>
      <w:r>
        <w:t xml:space="preserve"> </w:t>
      </w:r>
      <w:r>
        <w:rPr>
          <w:i/>
        </w:rPr>
        <w:t xml:space="preserve">et al.</w:t>
      </w:r>
      <w:r>
        <w:t xml:space="preserve">, 2005)</w:t>
      </w:r>
      <w:r>
        <w:t xml:space="preserve">.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create Amplicon Sequence Variants,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pipeline was used to trim low quality sequences across my samples or discard any sequence with Ns (Table 4). 89 bimeras out of 518 input sequences were identified. I obtained a total of 418 Amplicon Sequence Variants.</w:t>
      </w:r>
    </w:p>
    <w:p>
      <w:pPr>
        <w:pStyle w:val="BodyText"/>
      </w:pPr>
      <w:r>
        <w:t xml:space="preserve">DADA2 results show that Proteobacteria, Actinobacteria, and Firmicutes were the top three phyla that dominated in abundance across my samples (Figure 8).</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11).</w:t>
      </w:r>
    </w:p>
    <w:p>
      <w:pPr>
        <w:pStyle w:val="Heading1"/>
      </w:pPr>
      <w:bookmarkStart w:id="38" w:name="discussion"/>
      <w:r>
        <w:t xml:space="preserve">Discussion</w:t>
      </w:r>
      <w:bookmarkEnd w:id="38"/>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t xml:space="preserve">Proteobacteria is a phylum of bacteria that covers Gram-negative bacteria. DADA2 showed that his phylum was found in high abundance in both personal and public restrooms. It was interesting to find this in my samples because Proteobacteria 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 Actinobacteria 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 Firmicutes is another phylum found in high abundance across my samples per DADA2 results. Contrary to Proteobacteria that contain extremely high GC content, Firmicutes, is a phylum of bacteria that is low in GC content. It makes up the largest portion of mouse and human microbiome. Proteobacteria, Proteobacteria, and Firmicutes 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39" w:name="figures"/>
      <w:r>
        <w:t xml:space="preserve">Figures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&lt;ggproto object: Class FacetWrap, Facet, gg&gt;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FacetWrap, Facet, gg&gt;</w:t>
      </w:r>
    </w:p>
    <w:p>
      <w:pPr>
        <w:pStyle w:val="FirstParagraph"/>
      </w:pPr>
      <w:r>
        <w:rPr>
          <w:b/>
        </w:rPr>
        <w:t xml:space="preserve">Figure 9:</w:t>
      </w:r>
      <w:r>
        <w:t xml:space="preserve"> </w:t>
      </w:r>
      <w:r>
        <w:t xml:space="preserve">Comparison of phylum abundance between personal bathrooms and public restrooms. 2P environmental sample site was not taken into consideration for this figure.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bundance-of-Acinetobacte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Abundance of</w:t>
      </w:r>
      <w:r>
        <w:t xml:space="preserve"> </w:t>
      </w:r>
      <w:r>
        <w:rPr>
          <w:i/>
        </w:rPr>
        <w:t xml:space="preserve">Acinetobacter</w:t>
      </w:r>
      <w:r>
        <w:t xml:space="preserve"> </w:t>
      </w:r>
      <w:r>
        <w:t xml:space="preserve">across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top-gener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Abundance of organisms present in samples by genus.</w:t>
      </w:r>
    </w:p>
    <w:p>
      <w:pPr>
        <w:pStyle w:val="Heading1"/>
      </w:pPr>
      <w:bookmarkStart w:id="51" w:name="tables"/>
      <w:r>
        <w:t xml:space="preserve">Tables</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AS-1H_S10_L001_R1_001.fastq</w:t>
            </w:r>
          </w:p>
        </w:tc>
        <w:tc>
          <w:p>
            <w:pPr>
              <w:pStyle w:val="Compact"/>
              <w:jc w:val="right"/>
            </w:pPr>
            <w:r>
              <w:t xml:space="preserve">6389</w:t>
            </w:r>
          </w:p>
        </w:tc>
        <w:tc>
          <w:p>
            <w:pPr>
              <w:pStyle w:val="Compact"/>
              <w:jc w:val="right"/>
            </w:pPr>
            <w:r>
              <w:t xml:space="preserve">6373</w:t>
            </w:r>
          </w:p>
        </w:tc>
      </w:tr>
      <w:tr>
        <w:tc>
          <w:p>
            <w:pPr>
              <w:pStyle w:val="Compact"/>
              <w:jc w:val="left"/>
            </w:pPr>
            <w:r>
              <w:t xml:space="preserve">AS-1P_S7_L001_R1_001.fastq</w:t>
            </w:r>
          </w:p>
        </w:tc>
        <w:tc>
          <w:p>
            <w:pPr>
              <w:pStyle w:val="Compact"/>
              <w:jc w:val="right"/>
            </w:pPr>
            <w:r>
              <w:t xml:space="preserve">8816</w:t>
            </w:r>
          </w:p>
        </w:tc>
        <w:tc>
          <w:p>
            <w:pPr>
              <w:pStyle w:val="Compact"/>
              <w:jc w:val="right"/>
            </w:pPr>
            <w:r>
              <w:t xml:space="preserve">8799</w:t>
            </w:r>
          </w:p>
        </w:tc>
      </w:tr>
      <w:tr>
        <w:tc>
          <w:p>
            <w:pPr>
              <w:pStyle w:val="Compact"/>
              <w:jc w:val="left"/>
            </w:pPr>
            <w:r>
              <w:t xml:space="preserve">AS-2H_S11_L001_R1_001.fastq</w:t>
            </w:r>
          </w:p>
        </w:tc>
        <w:tc>
          <w:p>
            <w:pPr>
              <w:pStyle w:val="Compact"/>
              <w:jc w:val="right"/>
            </w:pPr>
            <w:r>
              <w:t xml:space="preserve">4581</w:t>
            </w:r>
          </w:p>
        </w:tc>
        <w:tc>
          <w:p>
            <w:pPr>
              <w:pStyle w:val="Compact"/>
              <w:jc w:val="right"/>
            </w:pPr>
            <w:r>
              <w:t xml:space="preserve">4572</w:t>
            </w:r>
          </w:p>
        </w:tc>
      </w:tr>
      <w:tr>
        <w:tc>
          <w:p>
            <w:pPr>
              <w:pStyle w:val="Compact"/>
              <w:jc w:val="left"/>
            </w:pPr>
            <w:r>
              <w:t xml:space="preserve">AS-2P_S8_L001_R1_001.fastq</w:t>
            </w:r>
          </w:p>
        </w:tc>
        <w:tc>
          <w:p>
            <w:pPr>
              <w:pStyle w:val="Compact"/>
              <w:jc w:val="right"/>
            </w:pPr>
            <w:r>
              <w:t xml:space="preserve">14</w:t>
            </w:r>
          </w:p>
        </w:tc>
        <w:tc>
          <w:p>
            <w:pPr>
              <w:pStyle w:val="Compact"/>
              <w:jc w:val="right"/>
            </w:pPr>
            <w:r>
              <w:t xml:space="preserve">12</w:t>
            </w:r>
          </w:p>
        </w:tc>
      </w:tr>
      <w:tr>
        <w:tc>
          <w:p>
            <w:pPr>
              <w:pStyle w:val="Compact"/>
              <w:jc w:val="left"/>
            </w:pPr>
            <w:r>
              <w:t xml:space="preserve">AS-3H_S12_L001_R1_001.fastq</w:t>
            </w:r>
          </w:p>
        </w:tc>
        <w:tc>
          <w:p>
            <w:pPr>
              <w:pStyle w:val="Compact"/>
              <w:jc w:val="right"/>
            </w:pPr>
            <w:r>
              <w:t xml:space="preserve">10579</w:t>
            </w:r>
          </w:p>
        </w:tc>
        <w:tc>
          <w:p>
            <w:pPr>
              <w:pStyle w:val="Compact"/>
              <w:jc w:val="right"/>
            </w:pPr>
            <w:r>
              <w:t xml:space="preserve">10562</w:t>
            </w:r>
          </w:p>
        </w:tc>
      </w:tr>
      <w:tr>
        <w:tc>
          <w:p>
            <w:pPr>
              <w:pStyle w:val="Compact"/>
              <w:jc w:val="left"/>
            </w:pPr>
            <w:r>
              <w:t xml:space="preserve">AS-3P_S9_L001_R1_001.fastq</w:t>
            </w:r>
          </w:p>
        </w:tc>
        <w:tc>
          <w:p>
            <w:pPr>
              <w:pStyle w:val="Compact"/>
              <w:jc w:val="right"/>
            </w:pPr>
            <w:r>
              <w:t xml:space="preserve">5808</w:t>
            </w:r>
          </w:p>
        </w:tc>
        <w:tc>
          <w:p>
            <w:pPr>
              <w:pStyle w:val="Compact"/>
              <w:jc w:val="right"/>
            </w:pPr>
            <w:r>
              <w:t xml:space="preserve">5803</w:t>
            </w:r>
          </w:p>
        </w:tc>
      </w:tr>
      <w:tr>
        <w:tc>
          <w:p>
            <w:pPr>
              <w:pStyle w:val="Compact"/>
              <w:jc w:val="left"/>
            </w:pPr>
            <w:r>
              <w:t xml:space="preserve">control-neg1_S79_L001_R1_001.fastq</w:t>
            </w:r>
          </w:p>
        </w:tc>
        <w:tc>
          <w:p>
            <w:pPr>
              <w:pStyle w:val="Compact"/>
              <w:jc w:val="right"/>
            </w:pPr>
            <w:r>
              <w:t xml:space="preserve">10990</w:t>
            </w:r>
          </w:p>
        </w:tc>
        <w:tc>
          <w:p>
            <w:pPr>
              <w:pStyle w:val="Compact"/>
              <w:jc w:val="right"/>
            </w:pPr>
            <w:r>
              <w:t xml:space="preserve">10969</w:t>
            </w:r>
          </w:p>
        </w:tc>
      </w:tr>
      <w:tr>
        <w:tc>
          <w:p>
            <w:pPr>
              <w:pStyle w:val="Compact"/>
              <w:jc w:val="left"/>
            </w:pPr>
            <w:r>
              <w:t xml:space="preserve">control-neg2_S80_L001_R1_001.fastq</w:t>
            </w:r>
          </w:p>
        </w:tc>
        <w:tc>
          <w:p>
            <w:pPr>
              <w:pStyle w:val="Compact"/>
              <w:jc w:val="right"/>
            </w:pPr>
            <w:r>
              <w:t xml:space="preserve">3290</w:t>
            </w:r>
          </w:p>
        </w:tc>
        <w:tc>
          <w:p>
            <w:pPr>
              <w:pStyle w:val="Compact"/>
              <w:jc w:val="right"/>
            </w:pPr>
            <w:r>
              <w:t xml:space="preserve">3279</w:t>
            </w:r>
          </w:p>
        </w:tc>
      </w:tr>
      <w:tr>
        <w:tc>
          <w:p>
            <w:pPr>
              <w:pStyle w:val="Compact"/>
              <w:jc w:val="left"/>
            </w:pPr>
            <w:r>
              <w:t xml:space="preserve">control-neg3_S81_L001_R1_001.fastq</w:t>
            </w:r>
          </w:p>
        </w:tc>
        <w:tc>
          <w:p>
            <w:pPr>
              <w:pStyle w:val="Compact"/>
              <w:jc w:val="right"/>
            </w:pPr>
            <w:r>
              <w:t xml:space="preserve">13837</w:t>
            </w:r>
          </w:p>
        </w:tc>
        <w:tc>
          <w:p>
            <w:pPr>
              <w:pStyle w:val="Compact"/>
              <w:jc w:val="right"/>
            </w:pPr>
            <w:r>
              <w:t xml:space="preserve">13818</w:t>
            </w:r>
          </w:p>
        </w:tc>
      </w:tr>
      <w:tr>
        <w:tc>
          <w:p>
            <w:pPr>
              <w:pStyle w:val="Compact"/>
              <w:jc w:val="left"/>
            </w:pPr>
            <w:r>
              <w:t xml:space="preserve">control-neg4_S82_L001_R1_001.fastq</w:t>
            </w:r>
          </w:p>
        </w:tc>
        <w:tc>
          <w:p>
            <w:pPr>
              <w:pStyle w:val="Compact"/>
              <w:jc w:val="right"/>
            </w:pPr>
            <w:r>
              <w:t xml:space="preserve">7825</w:t>
            </w:r>
          </w:p>
        </w:tc>
        <w:tc>
          <w:p>
            <w:pPr>
              <w:pStyle w:val="Compact"/>
              <w:jc w:val="right"/>
            </w:pPr>
            <w:r>
              <w:t xml:space="preserve">7811</w:t>
            </w:r>
          </w:p>
        </w:tc>
      </w:tr>
      <w:tr>
        <w:tc>
          <w:p>
            <w:pPr>
              <w:pStyle w:val="Compact"/>
              <w:jc w:val="left"/>
            </w:pPr>
            <w:r>
              <w:t xml:space="preserve">control-zymo1_S83_L001_R1_001.fastq</w:t>
            </w:r>
          </w:p>
        </w:tc>
        <w:tc>
          <w:p>
            <w:pPr>
              <w:pStyle w:val="Compact"/>
              <w:jc w:val="right"/>
            </w:pPr>
            <w:r>
              <w:t xml:space="preserve">5236</w:t>
            </w:r>
          </w:p>
        </w:tc>
        <w:tc>
          <w:p>
            <w:pPr>
              <w:pStyle w:val="Compact"/>
              <w:jc w:val="right"/>
            </w:pPr>
            <w:r>
              <w:t xml:space="preserve">5233</w:t>
            </w:r>
          </w:p>
        </w:tc>
      </w:tr>
      <w:tr>
        <w:tc>
          <w:p>
            <w:pPr>
              <w:pStyle w:val="Compact"/>
              <w:jc w:val="left"/>
            </w:pPr>
            <w:r>
              <w:t xml:space="preserve">control-zymo2_S84_L001_R1_001.fastq</w:t>
            </w:r>
          </w:p>
        </w:tc>
        <w:tc>
          <w:p>
            <w:pPr>
              <w:pStyle w:val="Compact"/>
              <w:jc w:val="right"/>
            </w:pPr>
            <w:r>
              <w:t xml:space="preserve">4139</w:t>
            </w:r>
          </w:p>
        </w:tc>
        <w:tc>
          <w:p>
            <w:pPr>
              <w:pStyle w:val="Compact"/>
              <w:jc w:val="right"/>
            </w:pPr>
            <w:r>
              <w:t xml:space="preserve">4134</w:t>
            </w:r>
          </w:p>
        </w:tc>
      </w:tr>
      <w:tr>
        <w:tc>
          <w:p>
            <w:pPr>
              <w:pStyle w:val="Compact"/>
              <w:jc w:val="left"/>
            </w:pPr>
            <w:r>
              <w:t xml:space="preserve">control-zymo3_S85_L001_R1_001.fastq</w:t>
            </w:r>
          </w:p>
        </w:tc>
        <w:tc>
          <w:p>
            <w:pPr>
              <w:pStyle w:val="Compact"/>
              <w:jc w:val="right"/>
            </w:pPr>
            <w:r>
              <w:t xml:space="preserve">8448</w:t>
            </w:r>
          </w:p>
        </w:tc>
        <w:tc>
          <w:p>
            <w:pPr>
              <w:pStyle w:val="Compact"/>
              <w:jc w:val="right"/>
            </w:pPr>
            <w:r>
              <w:t xml:space="preserve">8426</w:t>
            </w:r>
          </w:p>
        </w:tc>
      </w:tr>
      <w:tr>
        <w:tc>
          <w:p>
            <w:pPr>
              <w:pStyle w:val="Compact"/>
              <w:jc w:val="left"/>
            </w:pPr>
            <w:r>
              <w:t xml:space="preserve">control-zymo4_S86_L001_R1_001.fastq</w:t>
            </w:r>
          </w:p>
        </w:tc>
        <w:tc>
          <w:p>
            <w:pPr>
              <w:pStyle w:val="Compact"/>
              <w:jc w:val="right"/>
            </w:pPr>
            <w:r>
              <w:t xml:space="preserve">9287</w:t>
            </w:r>
          </w:p>
        </w:tc>
        <w:tc>
          <w:p>
            <w:pPr>
              <w:pStyle w:val="Compact"/>
              <w:jc w:val="right"/>
            </w:pPr>
            <w:r>
              <w:t xml:space="preserve">9271</w:t>
            </w:r>
          </w:p>
        </w:tc>
      </w:tr>
    </w:tbl>
    <w:p>
      <w:pPr>
        <w:pStyle w:val="BodyText"/>
      </w:pPr>
      <w:r>
        <w:rPr>
          <w:b/>
        </w:rPr>
        <w:t xml:space="preserve">Table 4:</w:t>
      </w:r>
      <w:r>
        <w:t xml:space="preserve"> </w:t>
      </w:r>
      <w:r>
        <w:t xml:space="preserve">Number of sequences before and after trimming via DADA2 pipeline.</w:t>
      </w:r>
    </w:p>
    <w:p>
      <w:pPr>
        <w:pStyle w:val="Heading1"/>
      </w:pPr>
      <w:bookmarkStart w:id="52" w:name="sources-cited"/>
      <w:r>
        <w:t xml:space="preserve">Sources Cited</w:t>
      </w:r>
      <w:bookmarkEnd w:id="52"/>
    </w:p>
    <w:bookmarkStart w:id="80" w:name="refs"/>
    <w:bookmarkStart w:id="53"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3"/>
    <w:bookmarkStart w:id="54"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4"/>
    <w:bookmarkStart w:id="55"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5"/>
    <w:bookmarkStart w:id="56"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6"/>
    <w:bookmarkStart w:id="5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7"/>
    <w:bookmarkStart w:id="5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8"/>
    <w:bookmarkStart w:id="5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9"/>
    <w:bookmarkStart w:id="6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60"/>
    <w:bookmarkStart w:id="6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1"/>
    <w:bookmarkStart w:id="6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2"/>
    <w:bookmarkStart w:id="63"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3"/>
    <w:bookmarkStart w:id="64"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4"/>
    <w:bookmarkStart w:id="65" w:name="ref-krestonblood"/>
    <w:p>
      <w:pPr>
        <w:pStyle w:val="Bibliography"/>
      </w:pPr>
      <w:r>
        <w:t xml:space="preserve">Kreston,R. Blood &amp; fog: The military’s germ warfare tests in san francisco.</w:t>
      </w:r>
    </w:p>
    <w:bookmarkEnd w:id="65"/>
    <w:bookmarkStart w:id="66"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6"/>
    <w:bookmarkStart w:id="67"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7"/>
    <w:bookmarkStart w:id="6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8"/>
    <w:bookmarkStart w:id="6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9"/>
    <w:bookmarkStart w:id="7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70"/>
    <w:bookmarkStart w:id="7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71"/>
    <w:bookmarkStart w:id="7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2"/>
    <w:bookmarkStart w:id="7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3"/>
    <w:bookmarkStart w:id="7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4"/>
    <w:bookmarkStart w:id="7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5"/>
    <w:bookmarkStart w:id="7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6"/>
    <w:bookmarkStart w:id="77"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7"/>
    <w:bookmarkStart w:id="78"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8"/>
    <w:bookmarkStart w:id="79"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2019-12-13T04:37:28Z</dcterms:created>
  <dcterms:modified xsi:type="dcterms:W3CDTF">2019-12-13T04:37:28Z</dcterms:modified>
</cp:coreProperties>
</file>