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Adelle</w:t>
      </w:r>
      <w:r>
        <w:t xml:space="preserve"> </w:t>
      </w:r>
      <w:r>
        <w:t xml:space="preserve">Marie</w:t>
      </w:r>
      <w:r>
        <w:t xml:space="preserve"> </w:t>
      </w:r>
      <w:r>
        <w:t xml:space="preserve">Sumabat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field-sampling"/>
      <w:r>
        <w:t xml:space="preserve">Field Sampling</w:t>
      </w:r>
      <w:bookmarkEnd w:id="22"/>
    </w:p>
    <w:p>
      <w:pPr>
        <w:pStyle w:val="Heading2"/>
      </w:pPr>
      <w:bookmarkStart w:id="23" w:name="culture-and-dilution-plates"/>
      <w:r>
        <w:t xml:space="preserve">Culture and Dilution Plates</w:t>
      </w:r>
      <w:bookmarkEnd w:id="23"/>
    </w:p>
    <w:p>
      <w:pPr>
        <w:pStyle w:val="Heading2"/>
      </w:pPr>
      <w:bookmarkStart w:id="24" w:name="dna-extraction"/>
      <w:r>
        <w:t xml:space="preserve">DNA Extraction</w:t>
      </w:r>
      <w:bookmarkEnd w:id="24"/>
    </w:p>
    <w:p>
      <w:pPr>
        <w:pStyle w:val="Heading2"/>
      </w:pPr>
      <w:bookmarkStart w:id="25" w:name="qubit-analysis"/>
      <w:r>
        <w:t xml:space="preserve">Qubit Analysis</w:t>
      </w:r>
      <w:bookmarkEnd w:id="25"/>
    </w:p>
    <w:p>
      <w:pPr>
        <w:pStyle w:val="Heading2"/>
      </w:pPr>
      <w:bookmarkStart w:id="26" w:name="pcr"/>
      <w:r>
        <w:t xml:space="preserve">PCR</w:t>
      </w:r>
      <w:bookmarkEnd w:id="26"/>
    </w:p>
    <w:p>
      <w:pPr>
        <w:pStyle w:val="Heading2"/>
      </w:pPr>
      <w:bookmarkStart w:id="27" w:name="gel-electrophoresis"/>
      <w:r>
        <w:t xml:space="preserve">Gel Electrophoresis</w:t>
      </w:r>
      <w:bookmarkEnd w:id="27"/>
    </w:p>
    <w:p>
      <w:pPr>
        <w:pStyle w:val="Heading2"/>
      </w:pPr>
      <w:bookmarkStart w:id="28" w:name="sanger-sequencing"/>
      <w:r>
        <w:t xml:space="preserve">Sanger Sequencing</w:t>
      </w:r>
      <w:bookmarkEnd w:id="28"/>
    </w:p>
    <w:p>
      <w:pPr>
        <w:pStyle w:val="Heading2"/>
      </w:pPr>
      <w:bookmarkStart w:id="29" w:name="data-analysis"/>
      <w:r>
        <w:t xml:space="preserve">Data Analysis</w:t>
      </w:r>
      <w:bookmarkEnd w:id="29"/>
    </w:p>
    <w:p>
      <w:pPr>
        <w:pStyle w:val="Heading1"/>
      </w:pPr>
      <w:bookmarkStart w:id="30" w:name="results"/>
      <w:r>
        <w:t xml:space="preserve">Results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at different sites, 10x dilution. Despite a higher median number of colonies from Personal Bathroom samples, the mean numbers of colonies were not significantly different between the two sites. (Wilcox p = 0.35).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0.3536785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Boxplot showing the number of morphotypes from the two different sites, 100x dilution. There was no difference in the mean number of morphotypes (Wilcox p=0.1).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/phylogenies/sanger_seqs_MrBayes_phyloge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Heading1"/>
      </w:pPr>
      <w:bookmarkStart w:id="35" w:name="sources-cited"/>
      <w:r>
        <w:t xml:space="preserve">Sources Cited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Adelle Marie Sumabat</dc:creator>
  <cp:keywords/>
  <dcterms:created xsi:type="dcterms:W3CDTF">2019-10-15T20:32:59Z</dcterms:created>
  <dcterms:modified xsi:type="dcterms:W3CDTF">2019-10-15T20:32:59Z</dcterms:modified>
</cp:coreProperties>
</file>