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33.jpg" ContentType="image/jpe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r>
        <w:t xml:space="preserve"> </w:t>
      </w:r>
      <w:r>
        <w:t xml:space="preserve">Here</w:t>
      </w:r>
    </w:p>
    <w:p>
      <w:pPr>
        <w:pStyle w:val="Author"/>
      </w:pPr>
      <w:r>
        <w:t xml:space="preserve">Adelle</w:t>
      </w:r>
      <w:r>
        <w:t xml:space="preserve"> </w:t>
      </w:r>
      <w:r>
        <w:t xml:space="preserve">Marie</w:t>
      </w:r>
      <w:r>
        <w:t xml:space="preserve"> </w:t>
      </w:r>
      <w:r>
        <w:t xml:space="preserve">Sumabat</w:t>
      </w:r>
    </w:p>
    <w:p>
      <w:pPr>
        <w:pStyle w:val="Date"/>
      </w:pPr>
      <w:r>
        <w:t xml:space="preserve">October</w:t>
      </w:r>
      <w:r>
        <w:t xml:space="preserve"> </w:t>
      </w:r>
      <w:r>
        <w:t xml:space="preserve">16,</w:t>
      </w:r>
      <w:r>
        <w:t xml:space="preserve"> </w:t>
      </w:r>
      <w:r>
        <w:t xml:space="preserve">2019</w:t>
      </w:r>
    </w:p>
    <w:p>
      <w:pPr>
        <w:pStyle w:val="Heading1"/>
      </w:pPr>
      <w:bookmarkStart w:id="20" w:name="introduction"/>
      <w:r>
        <w:t xml:space="preserve">Introduction</w:t>
      </w:r>
      <w:bookmarkEnd w:id="20"/>
    </w:p>
    <w:p>
      <w:pPr>
        <w:pStyle w:val="FirstParagraph"/>
      </w:pPr>
      <w:r>
        <w:t xml:space="preserve">Bacteria is found in high concentrations in built environments. Out of all rooms in a built environment, it has been found that bathrooms contain a higher concentration of bacteria than any other room due to bathrooms being a less ventilated room and a much more moist environment.</w:t>
      </w:r>
      <w:r>
        <w:t xml:space="preserve"> </w:t>
      </w:r>
      <w:r>
        <w:t xml:space="preserve">(Ojima</w:t>
      </w:r>
      <w:r>
        <w:t xml:space="preserve"> </w:t>
      </w:r>
      <w:r>
        <w:rPr>
          <w:i/>
        </w:rPr>
        <w:t xml:space="preserve">et al.</w:t>
      </w:r>
      <w:r>
        <w:t xml:space="preserve">, 2002)</w:t>
      </w:r>
      <w:r>
        <w:t xml:space="preserve"> </w:t>
      </w:r>
      <w:r>
        <w:t xml:space="preserve">Research has shown that the highest concentration of bacteria in residential homes are found in moist areas such as bathroom sinks.</w:t>
      </w:r>
      <w:r>
        <w:t xml:space="preserve"> </w:t>
      </w:r>
      <w:r>
        <w:t xml:space="preserve">(Rusin</w:t>
      </w:r>
      <w:r>
        <w:t xml:space="preserve"> </w:t>
      </w:r>
      <w:r>
        <w:rPr>
          <w:i/>
        </w:rPr>
        <w:t xml:space="preserve">et al.</w:t>
      </w:r>
      <w:r>
        <w:t xml:space="preserve">, 1998)</w:t>
      </w:r>
      <w:r>
        <w:t xml:space="preserve"> </w:t>
      </w:r>
      <w:r>
        <w:t xml:space="preserve">Human occupancy and human contact can have an affect on the community of the microbiome of a surface area.</w:t>
      </w:r>
      <w:r>
        <w:t xml:space="preserve"> </w:t>
      </w:r>
      <w:r>
        <w:t xml:space="preserve">(Ramos and Stephens, 2014)</w:t>
      </w:r>
    </w:p>
    <w:p>
      <w:pPr>
        <w:pStyle w:val="BodyText"/>
      </w:pPr>
      <w:r>
        <w:t xml:space="preserve">This research is important because we spend most of our time indoors and especially in our homes. Being constantly exposed to the bacteria in our homes or public places can greatly influence our health. By knowing how much bacteria is in a certain place we come into close contact with, such as bathroom or restroom sinks, we can then find ways of reducing any contamination that could lead to possible illness.</w:t>
      </w:r>
    </w:p>
    <w:p>
      <w:pPr>
        <w:pStyle w:val="Heading1"/>
      </w:pPr>
      <w:bookmarkStart w:id="21" w:name="methods"/>
      <w:r>
        <w:t xml:space="preserve">Methods</w:t>
      </w:r>
      <w:bookmarkEnd w:id="21"/>
    </w:p>
    <w:p>
      <w:pPr>
        <w:pStyle w:val="Heading2"/>
      </w:pPr>
      <w:bookmarkStart w:id="22" w:name="field-sampling"/>
      <w:r>
        <w:t xml:space="preserve">Field Sampling</w:t>
      </w:r>
      <w:bookmarkEnd w:id="22"/>
    </w:p>
    <w:p>
      <w:pPr>
        <w:pStyle w:val="FirstParagraph"/>
      </w:pPr>
      <w:r>
        <w:t xml:space="preserve">To obtain the samples I used for this experiment, I swabbed the drains of bathroom sinks from three different homes as well as restroom sinks from three different public places. This totaled to six distinct sites. I used a sterile swab and inserted it into the drain of a sink. While the swab was in the drain, I moved it in a circular motion for approximately 10 seconds. I removed the swab from the sink and broke off the tip. I inserted the tip of the cotton swab into a labeled tube and set it aside for later use. I swabbed each sink twice and repeated the swabbing procedure for the sinks at each of the six sites. This allowed me to obtain a total of 12 samples.</w:t>
      </w:r>
    </w:p>
    <w:p>
      <w:pPr>
        <w:pStyle w:val="Heading2"/>
      </w:pPr>
      <w:bookmarkStart w:id="23" w:name="culture-and-dilution-plates"/>
      <w:r>
        <w:t xml:space="preserve">Culture and Dilution Plates</w:t>
      </w:r>
      <w:bookmarkEnd w:id="23"/>
    </w:p>
    <w:p>
      <w:pPr>
        <w:pStyle w:val="FirstParagraph"/>
      </w:pPr>
      <w:r>
        <w:t xml:space="preserve">Six of the twelve samples were cultured. Each sample represented a sink from each of the six sites.</w:t>
      </w:r>
    </w:p>
    <w:p>
      <w:pPr>
        <w:pStyle w:val="Heading2"/>
      </w:pPr>
      <w:bookmarkStart w:id="24" w:name="dna-extraction"/>
      <w:r>
        <w:t xml:space="preserve">DNA Extraction</w:t>
      </w:r>
      <w:bookmarkEnd w:id="24"/>
    </w:p>
    <w:p>
      <w:pPr>
        <w:pStyle w:val="Heading2"/>
      </w:pPr>
      <w:bookmarkStart w:id="25" w:name="qubit-analysis"/>
      <w:r>
        <w:t xml:space="preserve">Qubit Analysis</w:t>
      </w:r>
      <w:bookmarkEnd w:id="25"/>
    </w:p>
    <w:p>
      <w:pPr>
        <w:pStyle w:val="Heading2"/>
      </w:pPr>
      <w:bookmarkStart w:id="26" w:name="pcr"/>
      <w:r>
        <w:t xml:space="preserve">PCR</w:t>
      </w:r>
      <w:bookmarkEnd w:id="26"/>
    </w:p>
    <w:p>
      <w:pPr>
        <w:pStyle w:val="Heading2"/>
      </w:pPr>
      <w:bookmarkStart w:id="27" w:name="gel-electrophoresis"/>
      <w:r>
        <w:t xml:space="preserve">Gel Electrophoresis</w:t>
      </w:r>
      <w:bookmarkEnd w:id="27"/>
    </w:p>
    <w:p>
      <w:pPr>
        <w:pStyle w:val="Heading2"/>
      </w:pPr>
      <w:bookmarkStart w:id="28" w:name="sanger-sequencing"/>
      <w:r>
        <w:t xml:space="preserve">Sanger Sequencing</w:t>
      </w:r>
      <w:bookmarkEnd w:id="28"/>
    </w:p>
    <w:p>
      <w:pPr>
        <w:pStyle w:val="Heading2"/>
      </w:pPr>
      <w:bookmarkStart w:id="29" w:name="data-analysis"/>
      <w:r>
        <w:t xml:space="preserve">Data Analysis</w:t>
      </w:r>
      <w:bookmarkEnd w:id="29"/>
    </w:p>
    <w:p>
      <w:pPr>
        <w:pStyle w:val="Heading1"/>
      </w:pPr>
      <w:bookmarkStart w:id="30" w:name="results"/>
      <w:r>
        <w:t xml:space="preserve">Results</w:t>
      </w:r>
      <w:bookmarkEnd w:id="30"/>
    </w:p>
    <w:p>
      <w:pPr>
        <w:pStyle w:val="FirstParagraph"/>
      </w:pPr>
      <w:r>
        <w:drawing>
          <wp:inline>
            <wp:extent cx="5334000" cy="4267200"/>
            <wp:effectExtent b="0" l="0" r="0" t="0"/>
            <wp:docPr descr="" title="" id="1" name="Picture"/>
            <a:graphic>
              <a:graphicData uri="http://schemas.openxmlformats.org/drawingml/2006/picture">
                <pic:pic>
                  <pic:nvPicPr>
                    <pic:cNvPr descr="Bioinformatics_Report_files/figure-docx/filter-and-plot-abundances-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of colony abundances at different sites, 10x dilution. Despite a higher median number of colonies from Personal Bathroom samples, the mean numbers of colonies were not significantly different between the two sites. (Wilcox p = 0.35).</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7</w:t>
            </w:r>
          </w:p>
        </w:tc>
        <w:tc>
          <w:p>
            <w:pPr>
              <w:pStyle w:val="Compact"/>
              <w:jc w:val="right"/>
            </w:pPr>
            <w:r>
              <w:t xml:space="preserve">0.3536785</w:t>
            </w:r>
          </w:p>
        </w:tc>
        <w:tc>
          <w:p>
            <w:pPr>
              <w:pStyle w:val="Compact"/>
              <w:jc w:val="left"/>
            </w:pPr>
            <w:r>
              <w:t xml:space="preserve">Wilcoxon rank sum test with continuity correction</w:t>
            </w:r>
          </w:p>
        </w:tc>
        <w:tc>
          <w:p>
            <w:pPr>
              <w:pStyle w:val="Compact"/>
              <w:jc w:val="left"/>
            </w:pPr>
            <w:r>
              <w:t xml:space="preserve">two.sided</w:t>
            </w:r>
          </w:p>
        </w:tc>
      </w:tr>
    </w:tbl>
    <w:p>
      <w:pPr>
        <w:pStyle w:val="BodyText"/>
      </w:pPr>
      <w:r>
        <w:drawing>
          <wp:inline>
            <wp:extent cx="5334000" cy="4267200"/>
            <wp:effectExtent b="0" l="0" r="0" t="0"/>
            <wp:docPr descr="" title="" id="1" name="Picture"/>
            <a:graphic>
              <a:graphicData uri="http://schemas.openxmlformats.org/drawingml/2006/picture">
                <pic:pic>
                  <pic:nvPicPr>
                    <pic:cNvPr descr="Bioinformatics_Report_files/figure-docx/filter-and-plot-morphotypes-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Boxplot showing the number of morphotypes from the two different sites, 100x dilution. There was no difference in the mean number of morphotypes (Wilcox p=0.1).</w:t>
      </w:r>
    </w:p>
    <w:tbl>
      <w:tblPr>
        <w:tblStyle w:val="Table"/>
        <w:tblW w:type="pct" w:w="0.0"/>
        <w:tblLook w:firstRow="1"/>
      </w:tblPr>
      <w:tblGrid/>
      <w:tr>
        <w:trPr>
          <w:cnfStyle w:firstRow="1"/>
        </w:trPr>
        <w:tc>
          <w:tcPr>
            <w:tcBorders>
              <w:bottom w:val="single"/>
            </w:tcBorders>
            <w:vAlign w:val="bottom"/>
          </w:tcPr>
          <w:p>
            <w:pPr>
              <w:pStyle w:val="Compact"/>
              <w:jc w:val="right"/>
            </w:pPr>
            <w:r>
              <w:t xml:space="preserve">statistic</w:t>
            </w:r>
          </w:p>
        </w:tc>
        <w:tc>
          <w:tcPr>
            <w:tcBorders>
              <w:bottom w:val="single"/>
            </w:tcBorders>
            <w:vAlign w:val="bottom"/>
          </w:tcPr>
          <w:p>
            <w:pPr>
              <w:pStyle w:val="Compact"/>
              <w:jc w:val="right"/>
            </w:pPr>
            <w:r>
              <w:t xml:space="preserve">p.value</w:t>
            </w:r>
          </w:p>
        </w:tc>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alternative</w:t>
            </w:r>
          </w:p>
        </w:tc>
      </w:tr>
      <w:tr>
        <w:tc>
          <w:p>
            <w:pPr>
              <w:pStyle w:val="Compact"/>
              <w:jc w:val="right"/>
            </w:pPr>
            <w:r>
              <w:t xml:space="preserve">9</w:t>
            </w:r>
          </w:p>
        </w:tc>
        <w:tc>
          <w:p>
            <w:pPr>
              <w:pStyle w:val="Compact"/>
              <w:jc w:val="right"/>
            </w:pPr>
            <w:r>
              <w:t xml:space="preserve">0.1</w:t>
            </w:r>
          </w:p>
        </w:tc>
        <w:tc>
          <w:p>
            <w:pPr>
              <w:pStyle w:val="Compact"/>
              <w:jc w:val="left"/>
            </w:pPr>
            <w:r>
              <w:t xml:space="preserve">Wilcoxon rank sum test</w:t>
            </w:r>
          </w:p>
        </w:tc>
        <w:tc>
          <w:p>
            <w:pPr>
              <w:pStyle w:val="Compact"/>
              <w:jc w:val="left"/>
            </w:pPr>
            <w:r>
              <w:t xml:space="preserve">two.sided</w:t>
            </w:r>
          </w:p>
        </w:tc>
      </w:tr>
    </w:tbl>
    <w:p>
      <w:pPr>
        <w:pStyle w:val="BodyText"/>
      </w:pPr>
      <w:r>
        <w:drawing>
          <wp:inline>
            <wp:extent cx="5334000" cy="5422559"/>
            <wp:effectExtent b="0" l="0" r="0" t="0"/>
            <wp:docPr descr="" title="" id="1" name="Picture"/>
            <a:graphic>
              <a:graphicData uri="http://schemas.openxmlformats.org/drawingml/2006/picture">
                <pic:pic>
                  <pic:nvPicPr>
                    <pic:cNvPr descr="data/images/gel_images/2019-09-18_BIOL422_Zimmerman_culture_PCRs.jpg" id="0" name="Picture"/>
                    <pic:cNvPicPr>
                      <a:picLocks noChangeArrowheads="1" noChangeAspect="1"/>
                    </pic:cNvPicPr>
                  </pic:nvPicPr>
                  <pic:blipFill>
                    <a:blip r:embed="rId33"/>
                    <a:stretch>
                      <a:fillRect/>
                    </a:stretch>
                  </pic:blipFill>
                  <pic:spPr bwMode="auto">
                    <a:xfrm>
                      <a:off x="0" y="0"/>
                      <a:ext cx="5334000" cy="5422559"/>
                    </a:xfrm>
                    <a:prstGeom prst="rect">
                      <a:avLst/>
                    </a:prstGeom>
                    <a:noFill/>
                    <a:ln w="9525">
                      <a:noFill/>
                      <a:headEnd/>
                      <a:tailEnd/>
                    </a:ln>
                  </pic:spPr>
                </pic:pic>
              </a:graphicData>
            </a:graphic>
          </wp:inline>
        </w:drawing>
      </w:r>
    </w:p>
    <w:p>
      <w:pPr>
        <w:pStyle w:val="BodyText"/>
      </w:pPr>
      <w:r>
        <w:rPr>
          <w:b/>
        </w:rPr>
        <w:t xml:space="preserve">Figure 3:</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w:t>
            </w:r>
          </w:p>
        </w:tc>
        <w:tc>
          <w:tcPr>
            <w:tcBorders>
              <w:bottom w:val="single"/>
            </w:tcBorders>
            <w:vAlign w:val="bottom"/>
          </w:tcPr>
          <w:p>
            <w:pPr>
              <w:pStyle w:val="Compact"/>
              <w:jc w:val="left"/>
            </w:pPr>
            <w:r>
              <w:t xml:space="preserve">DNA concentration (ng/uL)</w:t>
            </w:r>
          </w:p>
        </w:tc>
        <w:tc>
          <w:tcPr>
            <w:tcBorders>
              <w:bottom w:val="single"/>
            </w:tcBorders>
            <w:vAlign w:val="bottom"/>
          </w:tcPr>
          <w:p>
            <w:pPr>
              <w:pStyle w:val="Compact"/>
            </w:pPr>
          </w:p>
        </w:tc>
        <w:tc>
          <w:tcPr>
            <w:tcBorders>
              <w:bottom w:val="single"/>
            </w:tcBorders>
            <w:vAlign w:val="bottom"/>
          </w:tcPr>
          <w:p>
            <w:pPr>
              <w:pStyle w:val="Compact"/>
            </w:pPr>
          </w:p>
        </w:tc>
        <w:tc>
          <w:tcPr>
            <w:tcBorders>
              <w:bottom w:val="single"/>
            </w:tcBorders>
            <w:vAlign w:val="bottom"/>
          </w:tcPr>
          <w:p>
            <w:pPr>
              <w:pStyle w:val="Compact"/>
            </w:pPr>
          </w:p>
        </w:tc>
      </w:tr>
      <w:tr>
        <w:tc>
          <w:p>
            <w:pPr>
              <w:pStyle w:val="Compact"/>
              <w:jc w:val="left"/>
            </w:pPr>
            <w:r>
              <w:t xml:space="preserve">1P 1:10</w:t>
            </w:r>
          </w:p>
        </w:tc>
        <w:tc>
          <w:p>
            <w:pPr>
              <w:pStyle w:val="Compact"/>
              <w:jc w:val="left"/>
            </w:pPr>
            <w:r>
              <w:t xml:space="preserve">8.51</w:t>
            </w:r>
          </w:p>
        </w:tc>
        <w:tc>
          <w:p>
            <w:pPr>
              <w:pStyle w:val="Compact"/>
            </w:pPr>
          </w:p>
        </w:tc>
        <w:tc>
          <w:p>
            <w:pPr>
              <w:pStyle w:val="Compact"/>
            </w:pPr>
          </w:p>
        </w:tc>
        <w:tc>
          <w:p>
            <w:pPr>
              <w:pStyle w:val="Compact"/>
            </w:pPr>
          </w:p>
        </w:tc>
      </w:tr>
      <w:tr>
        <w:tc>
          <w:p>
            <w:pPr>
              <w:pStyle w:val="Compact"/>
              <w:jc w:val="left"/>
            </w:pPr>
            <w:r>
              <w:t xml:space="preserve">1P 1:100</w:t>
            </w:r>
          </w:p>
        </w:tc>
        <w:tc>
          <w:p>
            <w:pPr>
              <w:pStyle w:val="Compact"/>
              <w:jc w:val="left"/>
            </w:pPr>
            <w:r>
              <w:t xml:space="preserve">7.80</w:t>
            </w:r>
          </w:p>
        </w:tc>
        <w:tc>
          <w:p>
            <w:pPr>
              <w:pStyle w:val="Compact"/>
            </w:pPr>
          </w:p>
        </w:tc>
        <w:tc>
          <w:p>
            <w:pPr>
              <w:pStyle w:val="Compact"/>
            </w:pPr>
          </w:p>
        </w:tc>
        <w:tc>
          <w:p>
            <w:pPr>
              <w:pStyle w:val="Compact"/>
            </w:pPr>
          </w:p>
        </w:tc>
      </w:tr>
      <w:tr>
        <w:tc>
          <w:p>
            <w:pPr>
              <w:pStyle w:val="Compact"/>
              <w:jc w:val="left"/>
            </w:pPr>
            <w:r>
              <w:t xml:space="preserve">2P</w:t>
            </w:r>
          </w:p>
        </w:tc>
        <w:tc>
          <w:p>
            <w:pPr>
              <w:pStyle w:val="Compact"/>
              <w:jc w:val="left"/>
            </w:pPr>
            <w:r>
              <w:t xml:space="preserve">16.00</w:t>
            </w:r>
          </w:p>
        </w:tc>
        <w:tc>
          <w:p>
            <w:pPr>
              <w:pStyle w:val="Compact"/>
            </w:pPr>
          </w:p>
        </w:tc>
        <w:tc>
          <w:p>
            <w:pPr>
              <w:pStyle w:val="Compact"/>
            </w:pPr>
          </w:p>
        </w:tc>
        <w:tc>
          <w:p>
            <w:pPr>
              <w:pStyle w:val="Compact"/>
            </w:pPr>
          </w:p>
        </w:tc>
      </w:tr>
      <w:tr>
        <w:tc>
          <w:p>
            <w:pPr>
              <w:pStyle w:val="Compact"/>
              <w:jc w:val="left"/>
            </w:pPr>
            <w:r>
              <w:t xml:space="preserve">2P 1:10</w:t>
            </w:r>
          </w:p>
        </w:tc>
        <w:tc>
          <w:p>
            <w:pPr>
              <w:pStyle w:val="Compact"/>
              <w:jc w:val="left"/>
            </w:pPr>
            <w:r>
              <w:t xml:space="preserve">49.70</w:t>
            </w:r>
          </w:p>
        </w:tc>
        <w:tc>
          <w:p>
            <w:pPr>
              <w:pStyle w:val="Compact"/>
            </w:pPr>
          </w:p>
        </w:tc>
        <w:tc>
          <w:p>
            <w:pPr>
              <w:pStyle w:val="Compact"/>
            </w:pPr>
          </w:p>
        </w:tc>
        <w:tc>
          <w:p>
            <w:pPr>
              <w:pStyle w:val="Compact"/>
            </w:pPr>
          </w:p>
        </w:tc>
      </w:tr>
      <w:tr>
        <w:tc>
          <w:p>
            <w:pPr>
              <w:pStyle w:val="Compact"/>
              <w:jc w:val="left"/>
            </w:pPr>
            <w:r>
              <w:t xml:space="preserve">3H 1:10</w:t>
            </w:r>
          </w:p>
        </w:tc>
        <w:tc>
          <w:p>
            <w:pPr>
              <w:pStyle w:val="Compact"/>
              <w:jc w:val="left"/>
            </w:pPr>
            <w:r>
              <w:t xml:space="preserve">16.40</w:t>
            </w:r>
          </w:p>
        </w:tc>
        <w:tc>
          <w:p>
            <w:pPr>
              <w:pStyle w:val="Compact"/>
            </w:pPr>
          </w:p>
        </w:tc>
        <w:tc>
          <w:p>
            <w:pPr>
              <w:pStyle w:val="Compact"/>
            </w:pPr>
          </w:p>
        </w:tc>
        <w:tc>
          <w:p>
            <w:pPr>
              <w:pStyle w:val="Compact"/>
            </w:pPr>
          </w:p>
        </w:tc>
      </w:tr>
      <w:tr>
        <w:tc>
          <w:p>
            <w:pPr>
              <w:pStyle w:val="Compact"/>
              <w:jc w:val="left"/>
            </w:pPr>
            <w:r>
              <w:t xml:space="preserve">3H 1:100</w:t>
            </w:r>
          </w:p>
        </w:tc>
        <w:tc>
          <w:p>
            <w:pPr>
              <w:pStyle w:val="Compact"/>
              <w:jc w:val="left"/>
            </w:pPr>
            <w:r>
              <w:t xml:space="preserve">6.33</w:t>
            </w:r>
          </w:p>
        </w:tc>
        <w:tc>
          <w:p>
            <w:pPr>
              <w:pStyle w:val="Compact"/>
            </w:pPr>
          </w:p>
        </w:tc>
        <w:tc>
          <w:p>
            <w:pPr>
              <w:pStyle w:val="Compact"/>
            </w:pPr>
          </w:p>
        </w:tc>
        <w:tc>
          <w:p>
            <w:pPr>
              <w:pStyle w:val="Compact"/>
            </w:pPr>
          </w:p>
        </w:tc>
      </w:tr>
    </w:tbl>
    <w:p>
      <w:pPr>
        <w:pStyle w:val="BodyText"/>
      </w:pPr>
      <w:r>
        <w:rPr>
          <w:b/>
        </w:rPr>
        <w:t xml:space="preserve">Figure 4:</w:t>
      </w:r>
    </w:p>
    <w:tbl>
      <w:tblPr>
        <w:tblStyle w:val="Table"/>
        <w:tblW w:type="pct" w:w="0.0"/>
        <w:tblLook w:firstRow="1"/>
      </w:tblPr>
      <w:tblGrid/>
      <w:tr>
        <w:trPr>
          <w:cnfStyle w:firstRow="1"/>
        </w:trPr>
        <w:tc>
          <w:tcPr>
            <w:tcBorders>
              <w:bottom w:val="single"/>
            </w:tcBorders>
            <w:vAlign w:val="bottom"/>
          </w:tcPr>
          <w:p>
            <w:pPr>
              <w:pStyle w:val="Compact"/>
              <w:jc w:val="left"/>
            </w:pPr>
            <w:r>
              <w:t xml:space="preserve">Sample ID</w:t>
            </w:r>
          </w:p>
        </w:tc>
        <w:tc>
          <w:tcPr>
            <w:tcBorders>
              <w:bottom w:val="single"/>
            </w:tcBorders>
            <w:vAlign w:val="bottom"/>
          </w:tcPr>
          <w:p>
            <w:pPr>
              <w:pStyle w:val="Compact"/>
              <w:jc w:val="left"/>
            </w:pPr>
            <w:r>
              <w:t xml:space="preserve">Organism</w:t>
            </w:r>
          </w:p>
        </w:tc>
        <w:tc>
          <w:tcPr>
            <w:tcBorders>
              <w:bottom w:val="single"/>
            </w:tcBorders>
            <w:vAlign w:val="bottom"/>
          </w:tcPr>
          <w:p>
            <w:pPr>
              <w:pStyle w:val="Compact"/>
              <w:jc w:val="left"/>
            </w:pPr>
            <w:r>
              <w:t xml:space="preserve">Query Cover</w:t>
            </w:r>
          </w:p>
        </w:tc>
        <w:tc>
          <w:tcPr>
            <w:tcBorders>
              <w:bottom w:val="single"/>
            </w:tcBorders>
            <w:vAlign w:val="bottom"/>
          </w:tcPr>
          <w:p>
            <w:pPr>
              <w:pStyle w:val="Compact"/>
              <w:jc w:val="left"/>
            </w:pPr>
            <w:r>
              <w:t xml:space="preserve">E Value</w:t>
            </w:r>
          </w:p>
        </w:tc>
        <w:tc>
          <w:tcPr>
            <w:tcBorders>
              <w:bottom w:val="single"/>
            </w:tcBorders>
            <w:vAlign w:val="bottom"/>
          </w:tcPr>
          <w:p>
            <w:pPr>
              <w:pStyle w:val="Compact"/>
              <w:jc w:val="left"/>
            </w:pPr>
            <w:r>
              <w:t xml:space="preserve">Percent Identity</w:t>
            </w:r>
          </w:p>
        </w:tc>
        <w:tc>
          <w:tcPr>
            <w:tcBorders>
              <w:bottom w:val="single"/>
            </w:tcBorders>
            <w:vAlign w:val="bottom"/>
          </w:tcPr>
          <w:p>
            <w:pPr>
              <w:pStyle w:val="Compact"/>
              <w:jc w:val="left"/>
            </w:pPr>
            <w:r>
              <w:t xml:space="preserve">Accession</w:t>
            </w:r>
          </w:p>
        </w:tc>
      </w:tr>
      <w:tr>
        <w:tc>
          <w:p>
            <w:pPr>
              <w:pStyle w:val="Compact"/>
              <w:jc w:val="left"/>
            </w:pPr>
            <w:r>
              <w:t xml:space="preserve">AS 1P 1:10</w:t>
            </w:r>
          </w:p>
        </w:tc>
        <w:tc>
          <w:p>
            <w:pPr>
              <w:pStyle w:val="Compact"/>
              <w:jc w:val="left"/>
            </w:pPr>
            <w:r>
              <w:t xml:space="preserve">Acidovorax temperans strain R-C-TGW</w:t>
            </w:r>
          </w:p>
        </w:tc>
        <w:tc>
          <w:p>
            <w:pPr>
              <w:pStyle w:val="Compact"/>
              <w:jc w:val="left"/>
            </w:pPr>
            <w:r>
              <w:t xml:space="preserve">99%</w:t>
            </w:r>
          </w:p>
        </w:tc>
        <w:tc>
          <w:p>
            <w:pPr>
              <w:pStyle w:val="Compact"/>
              <w:jc w:val="left"/>
            </w:pPr>
            <w:r>
              <w:t xml:space="preserve">0.0</w:t>
            </w:r>
          </w:p>
        </w:tc>
        <w:tc>
          <w:p>
            <w:pPr>
              <w:pStyle w:val="Compact"/>
              <w:jc w:val="left"/>
            </w:pPr>
            <w:r>
              <w:t xml:space="preserve">99.60%</w:t>
            </w:r>
          </w:p>
        </w:tc>
        <w:tc>
          <w:p>
            <w:pPr>
              <w:pStyle w:val="Compact"/>
              <w:jc w:val="left"/>
            </w:pPr>
            <w:r>
              <w:t xml:space="preserve">MG982481.1</w:t>
            </w:r>
          </w:p>
        </w:tc>
      </w:tr>
      <w:tr>
        <w:tc>
          <w:p>
            <w:pPr>
              <w:pStyle w:val="Compact"/>
              <w:jc w:val="left"/>
            </w:pPr>
            <w:r>
              <w:t xml:space="preserve">AS 1P 1:100</w:t>
            </w:r>
          </w:p>
        </w:tc>
        <w:tc>
          <w:p>
            <w:pPr>
              <w:pStyle w:val="Compact"/>
              <w:jc w:val="left"/>
            </w:pPr>
            <w:r>
              <w:t xml:space="preserve">Citrobacter freundii strain</w:t>
            </w:r>
          </w:p>
        </w:tc>
        <w:tc>
          <w:p>
            <w:pPr>
              <w:pStyle w:val="Compact"/>
              <w:jc w:val="left"/>
            </w:pPr>
            <w:r>
              <w:t xml:space="preserve">100%</w:t>
            </w:r>
          </w:p>
        </w:tc>
        <w:tc>
          <w:p>
            <w:pPr>
              <w:pStyle w:val="Compact"/>
              <w:jc w:val="left"/>
            </w:pPr>
            <w:r>
              <w:t xml:space="preserve">0.0</w:t>
            </w:r>
          </w:p>
        </w:tc>
        <w:tc>
          <w:p>
            <w:pPr>
              <w:pStyle w:val="Compact"/>
              <w:jc w:val="left"/>
            </w:pPr>
            <w:r>
              <w:t xml:space="preserve">99.48</w:t>
            </w:r>
          </w:p>
        </w:tc>
        <w:tc>
          <w:p>
            <w:pPr>
              <w:pStyle w:val="Compact"/>
              <w:jc w:val="left"/>
            </w:pPr>
            <w:r>
              <w:t xml:space="preserve">MN416243.1</w:t>
            </w:r>
          </w:p>
        </w:tc>
      </w:tr>
      <w:tr>
        <w:tc>
          <w:p>
            <w:pPr>
              <w:pStyle w:val="Compact"/>
              <w:jc w:val="left"/>
            </w:pPr>
            <w:r>
              <w:t xml:space="preserve">AS 2P</w:t>
            </w:r>
          </w:p>
        </w:tc>
        <w:tc>
          <w:p>
            <w:pPr>
              <w:pStyle w:val="Compact"/>
              <w:jc w:val="left"/>
            </w:pPr>
            <w:r>
              <w:t xml:space="preserve">Bacillus licheniformis</w:t>
            </w:r>
          </w:p>
        </w:tc>
        <w:tc>
          <w:p>
            <w:pPr>
              <w:pStyle w:val="Compact"/>
              <w:jc w:val="left"/>
            </w:pPr>
            <w:r>
              <w:t xml:space="preserve">100%</w:t>
            </w:r>
          </w:p>
        </w:tc>
        <w:tc>
          <w:p>
            <w:pPr>
              <w:pStyle w:val="Compact"/>
              <w:jc w:val="left"/>
            </w:pPr>
            <w:r>
              <w:t xml:space="preserve">6*10^-118</w:t>
            </w:r>
          </w:p>
        </w:tc>
        <w:tc>
          <w:p>
            <w:pPr>
              <w:pStyle w:val="Compact"/>
              <w:jc w:val="left"/>
            </w:pPr>
            <w:r>
              <w:t xml:space="preserve">98.00%</w:t>
            </w:r>
          </w:p>
        </w:tc>
        <w:tc>
          <w:p>
            <w:pPr>
              <w:pStyle w:val="Compact"/>
              <w:jc w:val="left"/>
            </w:pPr>
            <w:r>
              <w:t xml:space="preserve">MK737917.1</w:t>
            </w:r>
          </w:p>
        </w:tc>
      </w:tr>
      <w:tr>
        <w:tc>
          <w:p>
            <w:pPr>
              <w:pStyle w:val="Compact"/>
              <w:jc w:val="left"/>
            </w:pPr>
            <w:r>
              <w:t xml:space="preserve">AS 2P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 1:10</w:t>
            </w:r>
          </w:p>
        </w:tc>
        <w:tc>
          <w:p>
            <w:pPr>
              <w:pStyle w:val="Compact"/>
              <w:jc w:val="left"/>
            </w:pPr>
            <w:r>
              <w:t xml:space="preserve">No good match</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r>
        <w:tc>
          <w:p>
            <w:pPr>
              <w:pStyle w:val="Compact"/>
              <w:jc w:val="left"/>
            </w:pPr>
            <w:r>
              <w:t xml:space="preserve">AS 3H</w:t>
            </w:r>
          </w:p>
        </w:tc>
        <w:tc>
          <w:p>
            <w:pPr>
              <w:pStyle w:val="Compact"/>
              <w:jc w:val="left"/>
            </w:pPr>
            <w:r>
              <w:t xml:space="preserve">Sequence failed</w:t>
            </w:r>
          </w:p>
        </w:tc>
        <w:tc>
          <w:p>
            <w:pPr>
              <w:pStyle w:val="Compact"/>
              <w:jc w:val="left"/>
            </w:pPr>
            <w:r>
              <w:t xml:space="preserve">N/A</w:t>
            </w:r>
          </w:p>
        </w:tc>
        <w:tc>
          <w:p>
            <w:pPr>
              <w:pStyle w:val="Compact"/>
              <w:jc w:val="left"/>
            </w:pPr>
            <w:r>
              <w:t xml:space="preserve">N/A</w:t>
            </w:r>
          </w:p>
        </w:tc>
        <w:tc>
          <w:p>
            <w:pPr>
              <w:pStyle w:val="Compact"/>
              <w:jc w:val="left"/>
            </w:pPr>
            <w:r>
              <w:t xml:space="preserve">N/A</w:t>
            </w:r>
          </w:p>
        </w:tc>
        <w:tc>
          <w:p>
            <w:pPr>
              <w:pStyle w:val="Compact"/>
              <w:jc w:val="left"/>
            </w:pPr>
            <w:r>
              <w:t xml:space="preserve">N/A</w:t>
            </w:r>
          </w:p>
        </w:tc>
      </w:tr>
    </w:tbl>
    <w:p>
      <w:pPr>
        <w:pStyle w:val="BodyText"/>
      </w:pPr>
      <w:r>
        <w:rPr>
          <w:b/>
        </w:rPr>
        <w:t xml:space="preserve">Figure 5:</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MrBayes_phylogeny.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6:</w:t>
      </w:r>
    </w:p>
    <w:p>
      <w:pPr>
        <w:pStyle w:val="BodyText"/>
      </w:pPr>
      <w:r>
        <w:drawing>
          <wp:inline>
            <wp:extent cx="5334000" cy="5334000"/>
            <wp:effectExtent b="0" l="0" r="0" t="0"/>
            <wp:docPr descr="" title="" id="1" name="Picture"/>
            <a:graphic>
              <a:graphicData uri="http://schemas.openxmlformats.org/drawingml/2006/picture">
                <pic:pic>
                  <pic:nvPicPr>
                    <pic:cNvPr descr="output/phylogenies/sanger_seqs_phyml_phylogeny.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7:</w:t>
      </w:r>
    </w:p>
    <w:p>
      <w:pPr>
        <w:pStyle w:val="Heading1"/>
      </w:pPr>
      <w:bookmarkStart w:id="36" w:name="discussion"/>
      <w:r>
        <w:t xml:space="preserve">Discussion</w:t>
      </w:r>
      <w:bookmarkEnd w:id="36"/>
    </w:p>
    <w:p>
      <w:pPr>
        <w:pStyle w:val="Heading1"/>
      </w:pPr>
      <w:bookmarkStart w:id="37" w:name="sources-cited"/>
      <w:r>
        <w:t xml:space="preserve">Sources Cited</w:t>
      </w:r>
      <w:bookmarkEnd w:id="37"/>
    </w:p>
    <w:bookmarkStart w:id="41" w:name="refs"/>
    <w:bookmarkStart w:id="38" w:name="ref-ojima2002hygiene"/>
    <w:p>
      <w:pPr>
        <w:pStyle w:val="Bibliography"/>
      </w:pPr>
      <w:r>
        <w:t xml:space="preserve">Ojima,M.</w:t>
      </w:r>
      <w:r>
        <w:t xml:space="preserve"> </w:t>
      </w:r>
      <w:r>
        <w:rPr>
          <w:i/>
        </w:rPr>
        <w:t xml:space="preserve">et al.</w:t>
      </w:r>
      <w:r>
        <w:t xml:space="preserve"> </w:t>
      </w:r>
      <w:r>
        <w:t xml:space="preserve">(2002) Hygiene measures considering actual distributions of microorganisms in japanese households.</w:t>
      </w:r>
      <w:r>
        <w:t xml:space="preserve"> </w:t>
      </w:r>
      <w:r>
        <w:rPr>
          <w:i/>
        </w:rPr>
        <w:t xml:space="preserve">Journal of applied microbiology</w:t>
      </w:r>
      <w:r>
        <w:t xml:space="preserve">,</w:t>
      </w:r>
      <w:r>
        <w:t xml:space="preserve"> </w:t>
      </w:r>
      <w:r>
        <w:rPr>
          <w:b/>
        </w:rPr>
        <w:t xml:space="preserve">93</w:t>
      </w:r>
      <w:r>
        <w:t xml:space="preserve">, 800–809.</w:t>
      </w:r>
    </w:p>
    <w:bookmarkEnd w:id="38"/>
    <w:bookmarkStart w:id="39" w:name="ref-ramos2014tools"/>
    <w:p>
      <w:pPr>
        <w:pStyle w:val="Bibliography"/>
      </w:pPr>
      <w:r>
        <w:t xml:space="preserve">Ramos,T. and Stephens,B. (2014) Tools to improve built environment data collection for indoor microbial ecology investigations.</w:t>
      </w:r>
      <w:r>
        <w:t xml:space="preserve"> </w:t>
      </w:r>
      <w:r>
        <w:rPr>
          <w:i/>
        </w:rPr>
        <w:t xml:space="preserve">Building and Environment</w:t>
      </w:r>
      <w:r>
        <w:t xml:space="preserve">,</w:t>
      </w:r>
      <w:r>
        <w:t xml:space="preserve"> </w:t>
      </w:r>
      <w:r>
        <w:rPr>
          <w:b/>
        </w:rPr>
        <w:t xml:space="preserve">81</w:t>
      </w:r>
      <w:r>
        <w:t xml:space="preserve">, 243–257.</w:t>
      </w:r>
    </w:p>
    <w:bookmarkEnd w:id="39"/>
    <w:bookmarkStart w:id="40" w:name="ref-rusin1998reduction"/>
    <w:p>
      <w:pPr>
        <w:pStyle w:val="Bibliography"/>
      </w:pPr>
      <w:r>
        <w:t xml:space="preserve">Rusin,P.</w:t>
      </w:r>
      <w:r>
        <w:t xml:space="preserve"> </w:t>
      </w:r>
      <w:r>
        <w:rPr>
          <w:i/>
        </w:rPr>
        <w:t xml:space="preserve">et al.</w:t>
      </w:r>
      <w:r>
        <w:t xml:space="preserve"> </w:t>
      </w:r>
      <w:r>
        <w:t xml:space="preserve">(1998) Reduction of faecal coliform, coliform and heterotrophic plate count bacteria in the household kitchen and bathroom by disinfection with hypochlorite cleaners.</w:t>
      </w:r>
      <w:r>
        <w:t xml:space="preserve"> </w:t>
      </w:r>
      <w:r>
        <w:rPr>
          <w:i/>
        </w:rPr>
        <w:t xml:space="preserve">Journal of Applied Microbiology</w:t>
      </w:r>
      <w:r>
        <w:t xml:space="preserve">,</w:t>
      </w:r>
      <w:r>
        <w:t xml:space="preserve"> </w:t>
      </w:r>
      <w:r>
        <w:rPr>
          <w:b/>
        </w:rPr>
        <w:t xml:space="preserve">85</w:t>
      </w:r>
      <w:r>
        <w:t xml:space="preserve">, 819–828.</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jp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creator>Adelle Marie Sumabat</dc:creator>
  <cp:keywords/>
  <dcterms:created xsi:type="dcterms:W3CDTF">2019-10-15T22:36:38Z</dcterms:created>
  <dcterms:modified xsi:type="dcterms:W3CDTF">2019-10-15T22:36:38Z</dcterms:modified>
</cp:coreProperties>
</file>